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263" w:rsidRDefault="00CC7263" w:rsidP="00CC7263">
      <w:pPr>
        <w:rPr>
          <w:rtl/>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CC7263" w:rsidTr="004B4634">
        <w:trPr>
          <w:jc w:val="center"/>
        </w:trPr>
        <w:tc>
          <w:tcPr>
            <w:tcW w:w="743" w:type="dxa"/>
          </w:tcPr>
          <w:p w:rsidR="00CC7263" w:rsidRDefault="00CC7263" w:rsidP="004B4634">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CC7263" w:rsidRDefault="00CC7263" w:rsidP="004B4634">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לורן אקוקה</w:t>
                </w:r>
              </w:sdtContent>
            </w:sdt>
          </w:p>
          <w:p w:rsidR="00CC7263" w:rsidRDefault="00CC7263" w:rsidP="004B4634">
            <w:pPr>
              <w:rPr>
                <w:rFonts w:ascii="Arial" w:hAnsi="Arial" w:cs="FrankRuehl"/>
                <w:sz w:val="28"/>
                <w:szCs w:val="28"/>
                <w:highlight w:val="yellow"/>
              </w:rPr>
            </w:pPr>
          </w:p>
        </w:tc>
      </w:tr>
      <w:tr w:rsidR="00CC7263" w:rsidTr="004B4634">
        <w:trPr>
          <w:jc w:val="center"/>
        </w:trPr>
        <w:tc>
          <w:tcPr>
            <w:tcW w:w="3249" w:type="dxa"/>
            <w:gridSpan w:val="2"/>
          </w:tcPr>
          <w:p w:rsidR="00CC7263" w:rsidRDefault="00CC7263" w:rsidP="004B4634">
            <w:pPr>
              <w:bidi w:val="0"/>
              <w:jc w:val="right"/>
              <w:rPr>
                <w:rFonts w:ascii="Arial" w:hAnsi="Arial"/>
                <w:b/>
                <w:bCs/>
                <w:noProof w:val="0"/>
                <w:sz w:val="26"/>
                <w:szCs w:val="26"/>
              </w:rPr>
            </w:pPr>
          </w:p>
          <w:sdt>
            <w:sdtPr>
              <w:alias w:val="1180"/>
              <w:tag w:val="1180"/>
              <w:id w:val="1559975633"/>
              <w:text w:multiLine="1"/>
            </w:sdtPr>
            <w:sdtEndPr/>
            <w:sdtContent>
              <w:p w:rsidR="00CC7263" w:rsidRDefault="00CC7263" w:rsidP="004B4634">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CC7263" w:rsidRDefault="00CC7263" w:rsidP="004B4634">
            <w:pPr>
              <w:rPr>
                <w:rFonts w:ascii="Arial" w:hAnsi="Arial"/>
                <w:b/>
                <w:bCs/>
                <w:noProof w:val="0"/>
                <w:sz w:val="26"/>
                <w:szCs w:val="26"/>
              </w:rPr>
            </w:pPr>
          </w:p>
          <w:p w:rsidR="00CC7263" w:rsidRDefault="0084461E" w:rsidP="00CC7263">
            <w:pPr>
              <w:rPr>
                <w:b/>
                <w:bCs/>
                <w:noProof w:val="0"/>
                <w:sz w:val="26"/>
                <w:szCs w:val="26"/>
              </w:rPr>
            </w:pPr>
            <w:sdt>
              <w:sdtPr>
                <w:rPr>
                  <w:rtl/>
                </w:rPr>
                <w:alias w:val="1462"/>
                <w:tag w:val="1462"/>
                <w:id w:val="-568649798"/>
                <w:text w:multiLine="1"/>
              </w:sdtPr>
              <w:sdtEndPr/>
              <w:sdtContent>
                <w:r w:rsidR="00CC7263">
                  <w:rPr>
                    <w:rFonts w:ascii="Arial" w:hAnsi="Arial"/>
                    <w:b/>
                    <w:bCs/>
                    <w:noProof w:val="0"/>
                    <w:sz w:val="26"/>
                    <w:szCs w:val="26"/>
                    <w:rtl/>
                  </w:rPr>
                  <w:t>1</w:t>
                </w:r>
              </w:sdtContent>
            </w:sdt>
            <w:r w:rsidR="00CC7263">
              <w:rPr>
                <w:b/>
                <w:bCs/>
                <w:noProof w:val="0"/>
                <w:sz w:val="26"/>
                <w:szCs w:val="26"/>
                <w:rtl/>
              </w:rPr>
              <w:t xml:space="preserve">. </w:t>
            </w:r>
            <w:r w:rsidR="00CC7263">
              <w:rPr>
                <w:rFonts w:ascii="Arial" w:hAnsi="Arial" w:hint="cs"/>
                <w:b/>
                <w:bCs/>
                <w:noProof w:val="0"/>
                <w:sz w:val="26"/>
                <w:szCs w:val="26"/>
                <w:rtl/>
              </w:rPr>
              <w:t>י.</w:t>
            </w:r>
          </w:p>
        </w:tc>
      </w:tr>
      <w:tr w:rsidR="00CC7263" w:rsidTr="004B4634">
        <w:trPr>
          <w:jc w:val="center"/>
        </w:trPr>
        <w:tc>
          <w:tcPr>
            <w:tcW w:w="8820" w:type="dxa"/>
            <w:gridSpan w:val="3"/>
          </w:tcPr>
          <w:p w:rsidR="00CC7263" w:rsidRDefault="00CC7263" w:rsidP="004B4634">
            <w:pPr>
              <w:rPr>
                <w:rFonts w:ascii="Arial" w:hAnsi="Arial"/>
                <w:b/>
                <w:bCs/>
                <w:noProof w:val="0"/>
                <w:sz w:val="26"/>
                <w:szCs w:val="26"/>
                <w:rtl/>
              </w:rPr>
            </w:pPr>
          </w:p>
          <w:p w:rsidR="00CC7263" w:rsidRDefault="00CC7263" w:rsidP="004B4634">
            <w:pPr>
              <w:jc w:val="center"/>
              <w:rPr>
                <w:rFonts w:ascii="Arial" w:hAnsi="Arial"/>
                <w:b/>
                <w:bCs/>
                <w:noProof w:val="0"/>
                <w:sz w:val="26"/>
                <w:szCs w:val="26"/>
                <w:rtl/>
              </w:rPr>
            </w:pPr>
            <w:r>
              <w:rPr>
                <w:rFonts w:ascii="Arial" w:hAnsi="Arial"/>
                <w:b/>
                <w:bCs/>
                <w:noProof w:val="0"/>
                <w:sz w:val="26"/>
                <w:szCs w:val="26"/>
                <w:rtl/>
              </w:rPr>
              <w:t>נגד</w:t>
            </w:r>
          </w:p>
          <w:p w:rsidR="00CC7263" w:rsidRDefault="00CC7263" w:rsidP="004B4634">
            <w:pPr>
              <w:rPr>
                <w:rFonts w:ascii="Arial" w:hAnsi="Arial"/>
                <w:b/>
                <w:bCs/>
                <w:noProof w:val="0"/>
                <w:sz w:val="26"/>
                <w:szCs w:val="26"/>
              </w:rPr>
            </w:pPr>
          </w:p>
        </w:tc>
      </w:tr>
      <w:tr w:rsidR="00CC7263" w:rsidTr="004B4634">
        <w:trPr>
          <w:jc w:val="center"/>
        </w:trPr>
        <w:tc>
          <w:tcPr>
            <w:tcW w:w="3249" w:type="dxa"/>
            <w:gridSpan w:val="2"/>
          </w:tcPr>
          <w:p w:rsidR="00CC7263" w:rsidRDefault="00CC7263" w:rsidP="004B4634">
            <w:pPr>
              <w:rPr>
                <w:rFonts w:ascii="Arial" w:hAnsi="Arial"/>
                <w:b/>
                <w:bCs/>
                <w:noProof w:val="0"/>
                <w:sz w:val="26"/>
                <w:szCs w:val="26"/>
                <w:rtl/>
              </w:rPr>
            </w:pPr>
          </w:p>
          <w:p w:rsidR="00CC7263" w:rsidRDefault="0084461E" w:rsidP="004B4634">
            <w:pPr>
              <w:rPr>
                <w:rFonts w:ascii="Arial" w:hAnsi="Arial"/>
                <w:b/>
                <w:bCs/>
                <w:noProof w:val="0"/>
                <w:sz w:val="26"/>
                <w:szCs w:val="26"/>
              </w:rPr>
            </w:pPr>
            <w:sdt>
              <w:sdtPr>
                <w:rPr>
                  <w:rtl/>
                </w:rPr>
                <w:alias w:val="1184"/>
                <w:tag w:val="1184"/>
                <w:id w:val="386307046"/>
                <w:text w:multiLine="1"/>
              </w:sdtPr>
              <w:sdtEndPr/>
              <w:sdtContent>
                <w:r w:rsidR="00CC7263">
                  <w:rPr>
                    <w:rFonts w:ascii="Arial" w:hAnsi="Arial"/>
                    <w:b/>
                    <w:bCs/>
                    <w:noProof w:val="0"/>
                    <w:sz w:val="26"/>
                    <w:szCs w:val="26"/>
                    <w:rtl/>
                  </w:rPr>
                  <w:t>משיבים</w:t>
                </w:r>
              </w:sdtContent>
            </w:sdt>
          </w:p>
        </w:tc>
        <w:tc>
          <w:tcPr>
            <w:tcW w:w="5571" w:type="dxa"/>
          </w:tcPr>
          <w:p w:rsidR="00CC7263" w:rsidRDefault="00CC7263" w:rsidP="004B4634">
            <w:pPr>
              <w:rPr>
                <w:rFonts w:ascii="Arial" w:hAnsi="Arial"/>
                <w:b/>
                <w:bCs/>
                <w:noProof w:val="0"/>
                <w:sz w:val="26"/>
                <w:szCs w:val="26"/>
                <w:rtl/>
              </w:rPr>
            </w:pPr>
          </w:p>
          <w:p w:rsidR="00CC7263" w:rsidRDefault="0084461E" w:rsidP="00CC7263">
            <w:pPr>
              <w:rPr>
                <w:b/>
                <w:bCs/>
                <w:noProof w:val="0"/>
                <w:sz w:val="26"/>
                <w:szCs w:val="26"/>
                <w:rtl/>
              </w:rPr>
            </w:pPr>
            <w:sdt>
              <w:sdtPr>
                <w:rPr>
                  <w:rtl/>
                </w:rPr>
                <w:alias w:val="1571"/>
                <w:tag w:val="1571"/>
                <w:id w:val="79727020"/>
                <w:text w:multiLine="1"/>
              </w:sdtPr>
              <w:sdtEndPr/>
              <w:sdtContent>
                <w:r w:rsidR="00CC7263">
                  <w:rPr>
                    <w:rFonts w:ascii="Arial" w:hAnsi="Arial" w:hint="cs"/>
                    <w:b/>
                    <w:bCs/>
                    <w:noProof w:val="0"/>
                    <w:sz w:val="26"/>
                    <w:szCs w:val="26"/>
                    <w:rtl/>
                  </w:rPr>
                  <w:t>1</w:t>
                </w:r>
              </w:sdtContent>
            </w:sdt>
            <w:r w:rsidR="00CC7263">
              <w:rPr>
                <w:rFonts w:ascii="Arial" w:hAnsi="Arial"/>
                <w:b/>
                <w:bCs/>
                <w:noProof w:val="0"/>
                <w:sz w:val="26"/>
                <w:szCs w:val="26"/>
                <w:rtl/>
              </w:rPr>
              <w:t xml:space="preserve">. </w:t>
            </w:r>
            <w:r w:rsidR="00CC7263">
              <w:rPr>
                <w:rFonts w:ascii="Arial" w:hAnsi="Arial" w:hint="cs"/>
                <w:b/>
                <w:bCs/>
                <w:noProof w:val="0"/>
                <w:sz w:val="26"/>
                <w:szCs w:val="26"/>
                <w:rtl/>
              </w:rPr>
              <w:t>ג.</w:t>
            </w:r>
          </w:p>
          <w:p w:rsidR="00CC7263" w:rsidRDefault="0084461E" w:rsidP="00CC7263">
            <w:pPr>
              <w:rPr>
                <w:b/>
                <w:bCs/>
                <w:noProof w:val="0"/>
                <w:sz w:val="26"/>
                <w:szCs w:val="26"/>
                <w:rtl/>
              </w:rPr>
            </w:pPr>
            <w:sdt>
              <w:sdtPr>
                <w:rPr>
                  <w:rtl/>
                </w:rPr>
                <w:alias w:val="1571"/>
                <w:tag w:val="1571"/>
                <w:id w:val="1388843794"/>
                <w:text w:multiLine="1"/>
              </w:sdtPr>
              <w:sdtEndPr/>
              <w:sdtContent>
                <w:r w:rsidR="00CC7263">
                  <w:rPr>
                    <w:rFonts w:ascii="Arial" w:hAnsi="Arial" w:hint="cs"/>
                    <w:b/>
                    <w:bCs/>
                    <w:noProof w:val="0"/>
                    <w:sz w:val="26"/>
                    <w:szCs w:val="26"/>
                    <w:rtl/>
                  </w:rPr>
                  <w:t>2</w:t>
                </w:r>
              </w:sdtContent>
            </w:sdt>
            <w:r w:rsidR="00CC7263">
              <w:rPr>
                <w:rFonts w:ascii="Arial" w:hAnsi="Arial"/>
                <w:b/>
                <w:bCs/>
                <w:noProof w:val="0"/>
                <w:sz w:val="26"/>
                <w:szCs w:val="26"/>
                <w:rtl/>
              </w:rPr>
              <w:t xml:space="preserve">. </w:t>
            </w:r>
            <w:r w:rsidR="00CC7263">
              <w:rPr>
                <w:rFonts w:ascii="Arial" w:hAnsi="Arial" w:hint="cs"/>
                <w:b/>
                <w:bCs/>
                <w:noProof w:val="0"/>
                <w:sz w:val="26"/>
                <w:szCs w:val="26"/>
                <w:rtl/>
              </w:rPr>
              <w:t>י.</w:t>
            </w:r>
          </w:p>
          <w:p w:rsidR="00CC7263" w:rsidRDefault="0084461E" w:rsidP="00CC7263">
            <w:pPr>
              <w:rPr>
                <w:b/>
                <w:bCs/>
                <w:noProof w:val="0"/>
                <w:sz w:val="26"/>
                <w:szCs w:val="26"/>
                <w:rtl/>
              </w:rPr>
            </w:pPr>
            <w:sdt>
              <w:sdtPr>
                <w:rPr>
                  <w:rtl/>
                </w:rPr>
                <w:alias w:val="1571"/>
                <w:tag w:val="1571"/>
                <w:id w:val="559298036"/>
                <w:text w:multiLine="1"/>
              </w:sdtPr>
              <w:sdtEndPr/>
              <w:sdtContent>
                <w:r w:rsidR="00CC7263">
                  <w:rPr>
                    <w:rFonts w:ascii="Arial" w:hAnsi="Arial" w:hint="cs"/>
                    <w:b/>
                    <w:bCs/>
                    <w:noProof w:val="0"/>
                    <w:sz w:val="26"/>
                    <w:szCs w:val="26"/>
                    <w:rtl/>
                  </w:rPr>
                  <w:t>3</w:t>
                </w:r>
              </w:sdtContent>
            </w:sdt>
            <w:r w:rsidR="00CC7263">
              <w:rPr>
                <w:rFonts w:ascii="Arial" w:hAnsi="Arial"/>
                <w:b/>
                <w:bCs/>
                <w:noProof w:val="0"/>
                <w:sz w:val="26"/>
                <w:szCs w:val="26"/>
                <w:rtl/>
              </w:rPr>
              <w:t xml:space="preserve">. </w:t>
            </w:r>
            <w:r w:rsidR="00CC7263">
              <w:rPr>
                <w:rFonts w:ascii="Arial" w:hAnsi="Arial" w:hint="cs"/>
                <w:b/>
                <w:bCs/>
                <w:noProof w:val="0"/>
                <w:sz w:val="26"/>
                <w:szCs w:val="26"/>
                <w:rtl/>
              </w:rPr>
              <w:t>י.</w:t>
            </w:r>
          </w:p>
          <w:p w:rsidR="00CC7263" w:rsidRDefault="00CC7263" w:rsidP="004B4634">
            <w:pPr>
              <w:rPr>
                <w:b/>
                <w:bCs/>
                <w:noProof w:val="0"/>
                <w:sz w:val="26"/>
                <w:szCs w:val="26"/>
                <w:rtl/>
              </w:rPr>
            </w:pPr>
          </w:p>
        </w:tc>
      </w:tr>
    </w:tbl>
    <w:p w:rsidR="00CC7263" w:rsidRDefault="00CC7263" w:rsidP="00CC7263"/>
    <w:p w:rsidR="00CC7263" w:rsidRDefault="00CC7263" w:rsidP="00CC7263"/>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C7263" w:rsidTr="004B4634">
        <w:trPr>
          <w:jc w:val="center"/>
        </w:trPr>
        <w:tc>
          <w:tcPr>
            <w:tcW w:w="8820" w:type="dxa"/>
          </w:tcPr>
          <w:p w:rsidR="00CC7263" w:rsidRDefault="00CC7263" w:rsidP="004B463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p w:rsidR="00CC7263" w:rsidRDefault="00CC7263" w:rsidP="004B4634">
            <w:pPr>
              <w:bidi w:val="0"/>
              <w:jc w:val="center"/>
              <w:rPr>
                <w:rFonts w:ascii="Arial" w:hAnsi="Arial"/>
                <w:b/>
                <w:bCs/>
                <w:noProof w:val="0"/>
                <w:sz w:val="28"/>
                <w:szCs w:val="28"/>
                <w:u w:val="single"/>
              </w:rPr>
            </w:pPr>
          </w:p>
          <w:p w:rsidR="00CC7263" w:rsidRDefault="00CC7263" w:rsidP="004B4634">
            <w:pPr>
              <w:bidi w:val="0"/>
              <w:jc w:val="center"/>
              <w:rPr>
                <w:rFonts w:ascii="Arial" w:hAnsi="Arial"/>
                <w:b/>
                <w:bCs/>
                <w:noProof w:val="0"/>
                <w:sz w:val="28"/>
                <w:szCs w:val="28"/>
                <w:u w:val="single"/>
              </w:rPr>
            </w:pPr>
          </w:p>
        </w:tc>
      </w:tr>
    </w:tbl>
    <w:p w:rsidR="00CC7263" w:rsidRDefault="00CC7263" w:rsidP="00CC7263">
      <w:pPr>
        <w:numPr>
          <w:ilvl w:val="0"/>
          <w:numId w:val="1"/>
        </w:numPr>
        <w:spacing w:line="360" w:lineRule="auto"/>
        <w:contextualSpacing/>
        <w:jc w:val="both"/>
        <w:rPr>
          <w:rFonts w:ascii="Arial" w:hAnsi="Arial"/>
          <w:noProof w:val="0"/>
        </w:rPr>
      </w:pPr>
      <w:r w:rsidRPr="009B3267">
        <w:rPr>
          <w:rFonts w:ascii="Arial" w:hAnsi="Arial"/>
          <w:noProof w:val="0"/>
          <w:rtl/>
        </w:rPr>
        <w:t>הבקשה ש</w:t>
      </w:r>
      <w:r>
        <w:rPr>
          <w:rFonts w:ascii="Arial" w:hAnsi="Arial" w:hint="cs"/>
          <w:noProof w:val="0"/>
          <w:rtl/>
        </w:rPr>
        <w:t>ל</w:t>
      </w:r>
      <w:r>
        <w:rPr>
          <w:rFonts w:ascii="Arial" w:hAnsi="Arial"/>
          <w:noProof w:val="0"/>
          <w:rtl/>
        </w:rPr>
        <w:t>פני</w:t>
      </w:r>
      <w:r>
        <w:rPr>
          <w:rFonts w:ascii="Arial" w:hAnsi="Arial" w:hint="cs"/>
          <w:noProof w:val="0"/>
          <w:rtl/>
        </w:rPr>
        <w:t>,</w:t>
      </w:r>
      <w:r w:rsidRPr="009B3267">
        <w:rPr>
          <w:rFonts w:ascii="Arial" w:hAnsi="Arial"/>
          <w:noProof w:val="0"/>
          <w:rtl/>
        </w:rPr>
        <w:t xml:space="preserve"> עניינה בפסיקת הוצאות במסגרת בקשה להפסקת תובענות שנתבקשו על ידי המבקש בתגובה להחלטת בית משפט, במסגרת הליכים שעניינם בקשה למינוי מנהל עיזבון בהקשר להורי המבקש מר </w:t>
      </w:r>
      <w:r>
        <w:rPr>
          <w:rFonts w:ascii="Arial" w:hAnsi="Arial" w:hint="cs"/>
          <w:noProof w:val="0"/>
          <w:rtl/>
        </w:rPr>
        <w:t>.....</w:t>
      </w:r>
      <w:r w:rsidRPr="009B3267">
        <w:rPr>
          <w:rFonts w:ascii="Arial" w:hAnsi="Arial"/>
          <w:noProof w:val="0"/>
          <w:rtl/>
        </w:rPr>
        <w:t xml:space="preserve"> (המנוח) ת"ע 54365-01-24 והגב' </w:t>
      </w:r>
      <w:r>
        <w:rPr>
          <w:rFonts w:ascii="Arial" w:hAnsi="Arial" w:hint="cs"/>
          <w:noProof w:val="0"/>
          <w:rtl/>
        </w:rPr>
        <w:t>....</w:t>
      </w:r>
      <w:r>
        <w:rPr>
          <w:rFonts w:ascii="Arial" w:hAnsi="Arial"/>
          <w:noProof w:val="0"/>
          <w:rtl/>
        </w:rPr>
        <w:t xml:space="preserve"> (המנוחה).  יצוי</w:t>
      </w:r>
      <w:r w:rsidRPr="009B3267">
        <w:rPr>
          <w:rFonts w:ascii="Arial" w:hAnsi="Arial"/>
          <w:noProof w:val="0"/>
          <w:rtl/>
        </w:rPr>
        <w:t xml:space="preserve">ן כי בהתאם לצו הירושה שניתן בעניין המנוחים לעיל, הצדדים שהם ילדי המנוחים יורשים בחלקים שווים את עיזבון המנוחים. </w:t>
      </w:r>
    </w:p>
    <w:p w:rsidR="00CC7263" w:rsidRPr="009B3267" w:rsidRDefault="00CC7263" w:rsidP="00CC7263">
      <w:pPr>
        <w:spacing w:line="360" w:lineRule="auto"/>
        <w:ind w:left="786"/>
        <w:contextualSpacing/>
        <w:jc w:val="both"/>
        <w:rPr>
          <w:rFonts w:ascii="Arial" w:hAnsi="Arial"/>
          <w:noProof w:val="0"/>
        </w:rPr>
      </w:pPr>
    </w:p>
    <w:p w:rsidR="00CC7263" w:rsidRDefault="00CC7263" w:rsidP="00CC7263">
      <w:pPr>
        <w:numPr>
          <w:ilvl w:val="0"/>
          <w:numId w:val="1"/>
        </w:numPr>
        <w:spacing w:line="360" w:lineRule="auto"/>
        <w:contextualSpacing/>
        <w:jc w:val="both"/>
        <w:rPr>
          <w:rFonts w:ascii="Arial" w:hAnsi="Arial"/>
          <w:noProof w:val="0"/>
        </w:rPr>
      </w:pPr>
      <w:r w:rsidRPr="009B3267">
        <w:rPr>
          <w:rFonts w:ascii="Arial" w:hAnsi="Arial"/>
          <w:noProof w:val="0"/>
          <w:rtl/>
        </w:rPr>
        <w:t>עוד אציין כי לצד התובענות דנן התקיים בין הצדדים הליך נוסף לפירוק שיתוף דירת המנוחים שהוגש על יד</w:t>
      </w:r>
      <w:r>
        <w:rPr>
          <w:rFonts w:ascii="Arial" w:hAnsi="Arial"/>
          <w:noProof w:val="0"/>
          <w:rtl/>
        </w:rPr>
        <w:t>י המשיבה 1 (התובעת בהליך הקשור)</w:t>
      </w:r>
      <w:r w:rsidRPr="009B3267">
        <w:rPr>
          <w:rFonts w:ascii="Arial" w:hAnsi="Arial"/>
          <w:noProof w:val="0"/>
          <w:rtl/>
        </w:rPr>
        <w:t xml:space="preserve">, שהייתה חלק מנכסי העיזבון שהסתיים בפסק דין במסגרתו ניתן צו לפירוק השיתוף. </w:t>
      </w:r>
    </w:p>
    <w:p w:rsidR="00CC7263" w:rsidRDefault="00CC7263" w:rsidP="00CC7263">
      <w:pPr>
        <w:pStyle w:val="a9"/>
        <w:rPr>
          <w:rFonts w:ascii="Arial" w:hAnsi="Arial"/>
          <w:noProof w:val="0"/>
          <w:rtl/>
        </w:rPr>
      </w:pPr>
    </w:p>
    <w:p w:rsidR="00CC7263" w:rsidRDefault="00CC7263" w:rsidP="00CC7263">
      <w:pPr>
        <w:numPr>
          <w:ilvl w:val="0"/>
          <w:numId w:val="1"/>
        </w:numPr>
        <w:spacing w:line="360" w:lineRule="auto"/>
        <w:contextualSpacing/>
        <w:jc w:val="both"/>
        <w:rPr>
          <w:rFonts w:ascii="Arial" w:hAnsi="Arial"/>
          <w:noProof w:val="0"/>
        </w:rPr>
      </w:pPr>
      <w:r w:rsidRPr="009B3267">
        <w:rPr>
          <w:rFonts w:ascii="Arial" w:hAnsi="Arial"/>
          <w:noProof w:val="0"/>
          <w:rtl/>
        </w:rPr>
        <w:t>כאמור הגיש המבקש שתי בקשות למינוי מנהל עיזבון</w:t>
      </w:r>
      <w:r>
        <w:rPr>
          <w:rFonts w:ascii="Arial" w:hAnsi="Arial" w:hint="cs"/>
          <w:noProof w:val="0"/>
          <w:rtl/>
        </w:rPr>
        <w:t>.</w:t>
      </w:r>
      <w:r w:rsidRPr="009B3267">
        <w:rPr>
          <w:rFonts w:ascii="Arial" w:hAnsi="Arial"/>
          <w:noProof w:val="0"/>
          <w:rtl/>
        </w:rPr>
        <w:t xml:space="preserve"> האחת בעבור עיזבון המנוח והשנייה בעבור עיזבון המנוחה זאת בהתאם להוראות בית המשפט</w:t>
      </w:r>
      <w:r>
        <w:rPr>
          <w:rFonts w:ascii="Arial" w:hAnsi="Arial" w:hint="cs"/>
          <w:noProof w:val="0"/>
          <w:rtl/>
        </w:rPr>
        <w:t>,</w:t>
      </w:r>
      <w:r w:rsidRPr="009B3267">
        <w:rPr>
          <w:rFonts w:ascii="Arial" w:hAnsi="Arial"/>
          <w:noProof w:val="0"/>
          <w:rtl/>
        </w:rPr>
        <w:t xml:space="preserve"> שהורו על הפרדת הבקשות בהקשר לכל אחד מהמנוחים. </w:t>
      </w:r>
    </w:p>
    <w:p w:rsidR="00CC7263" w:rsidRDefault="00CC7263" w:rsidP="00CC7263">
      <w:pPr>
        <w:pStyle w:val="a9"/>
        <w:rPr>
          <w:rFonts w:ascii="Arial" w:hAnsi="Arial"/>
          <w:noProof w:val="0"/>
          <w:rtl/>
        </w:rPr>
      </w:pPr>
    </w:p>
    <w:p w:rsidR="00CC7263" w:rsidRDefault="00CC7263" w:rsidP="00CC7263">
      <w:pPr>
        <w:spacing w:line="360" w:lineRule="auto"/>
        <w:ind w:left="786"/>
        <w:contextualSpacing/>
        <w:jc w:val="both"/>
        <w:rPr>
          <w:rFonts w:ascii="Arial" w:hAnsi="Arial"/>
          <w:noProof w:val="0"/>
          <w:rtl/>
        </w:rPr>
      </w:pPr>
      <w:r w:rsidRPr="009B3267">
        <w:rPr>
          <w:rFonts w:ascii="Arial" w:hAnsi="Arial"/>
          <w:noProof w:val="0"/>
          <w:rtl/>
        </w:rPr>
        <w:t xml:space="preserve">טען המבקש  בתמצית, כי יש מקום למנות מנהל עיזבון ומומלץ שיהיה זה בא כוחו, על מנת לכנס את נכסי העיזבון ובכללם לבחון את החוב הנטען כלפי המבקש מנכסי העיזבון,   ויחלק את יתרת העיזבון לאחר הסדרת החוב בין היורשים. </w:t>
      </w:r>
    </w:p>
    <w:p w:rsidR="00CC7263" w:rsidRPr="009B3267" w:rsidRDefault="00CC7263" w:rsidP="00CC7263">
      <w:pPr>
        <w:spacing w:line="360" w:lineRule="auto"/>
        <w:ind w:left="786"/>
        <w:contextualSpacing/>
        <w:jc w:val="both"/>
        <w:rPr>
          <w:rFonts w:ascii="Arial" w:hAnsi="Arial"/>
          <w:noProof w:val="0"/>
        </w:rPr>
      </w:pPr>
    </w:p>
    <w:p w:rsidR="00CC7263" w:rsidRDefault="00CC7263" w:rsidP="00CC7263">
      <w:pPr>
        <w:numPr>
          <w:ilvl w:val="0"/>
          <w:numId w:val="1"/>
        </w:numPr>
        <w:spacing w:line="360" w:lineRule="auto"/>
        <w:contextualSpacing/>
        <w:jc w:val="both"/>
        <w:rPr>
          <w:rFonts w:ascii="Arial" w:hAnsi="Arial"/>
          <w:noProof w:val="0"/>
        </w:rPr>
      </w:pPr>
      <w:r w:rsidRPr="009B3267">
        <w:rPr>
          <w:rFonts w:ascii="Arial" w:hAnsi="Arial"/>
          <w:noProof w:val="0"/>
          <w:rtl/>
        </w:rPr>
        <w:t>אציין עוד להבנת התמונה בכללותה, כי במסגרת הליכי הצדדים התקיים דיון אחד בה נדון גם בקצרה עניין הבקשות למינוי מנהל עיזבון.  אציין כי נכסי העיזבון כוללים דירה שכאמור בגינה ניתן פסק דין לפירוק השיתוף  וחשבון בנק אחד. יצויין כי לא הוגשה כל תביעת חוב בעניין החוב הנטען ובפסק הדין שניתן נקבע בהקשר לאמור כדלקמן:</w:t>
      </w:r>
    </w:p>
    <w:p w:rsidR="00CC7263" w:rsidRPr="009B3267" w:rsidRDefault="00CC7263" w:rsidP="00CC7263">
      <w:pPr>
        <w:spacing w:line="360" w:lineRule="auto"/>
        <w:ind w:left="786"/>
        <w:contextualSpacing/>
        <w:jc w:val="both"/>
        <w:rPr>
          <w:rFonts w:ascii="Arial" w:hAnsi="Arial"/>
          <w:noProof w:val="0"/>
        </w:rPr>
      </w:pPr>
    </w:p>
    <w:p w:rsidR="00CC7263" w:rsidRPr="009B3267" w:rsidRDefault="00CC7263" w:rsidP="00CC7263">
      <w:pPr>
        <w:spacing w:line="360" w:lineRule="auto"/>
        <w:ind w:left="1417" w:right="993"/>
        <w:contextualSpacing/>
        <w:jc w:val="both"/>
        <w:rPr>
          <w:rFonts w:ascii="Miriam" w:hAnsi="Miriam" w:cs="Miriam"/>
          <w:noProof w:val="0"/>
        </w:rPr>
      </w:pPr>
      <w:r w:rsidRPr="009B3267">
        <w:rPr>
          <w:rFonts w:ascii="Arial" w:hAnsi="Arial"/>
          <w:noProof w:val="0"/>
          <w:rtl/>
        </w:rPr>
        <w:t>"....</w:t>
      </w:r>
      <w:r w:rsidRPr="009B3267">
        <w:rPr>
          <w:rFonts w:ascii="Miriam" w:hAnsi="Miriam" w:cs="Miriam"/>
          <w:noProof w:val="0"/>
          <w:rtl/>
        </w:rPr>
        <w:t xml:space="preserve">העובדה כי לנתבע 1 יש טענות כלפי העיזבון אינה עילה המונעת את המשך הליך פירוק השיתוף ואין אני נדרשת כלל בשלב זה לטענות לגופן שעה שאלו לא הוגשו כתביעת חוב </w:t>
      </w:r>
      <w:r w:rsidRPr="009B3267">
        <w:rPr>
          <w:rFonts w:ascii="Miriam" w:hAnsi="Miriam" w:cs="Miriam"/>
          <w:noProof w:val="0"/>
          <w:u w:val="single"/>
          <w:rtl/>
        </w:rPr>
        <w:t>ולא נתמכו באסמכתאות שניתן לבחון ולבררן לאשורן</w:t>
      </w:r>
      <w:r w:rsidRPr="009B3267">
        <w:rPr>
          <w:rFonts w:ascii="Miriam" w:hAnsi="Miriam" w:cs="Miriam"/>
          <w:noProof w:val="0"/>
          <w:rtl/>
        </w:rPr>
        <w:t xml:space="preserve">. עם זאת ושעה שהסכים ב"כ התובעת כי כפוף להצגת אסמכתאות יוכלו הצדדים להתחשבן על ההוצאות שכל צד הוציא בעבור הנכס מושא התביעה ממועד הפטירה ואילך, טוב יעשו אם יצליחו לעשות כן.  </w:t>
      </w:r>
    </w:p>
    <w:p w:rsidR="00CC7263" w:rsidRPr="009B3267" w:rsidRDefault="00CC7263" w:rsidP="00CC7263">
      <w:pPr>
        <w:spacing w:line="360" w:lineRule="auto"/>
        <w:ind w:left="1417" w:right="993"/>
        <w:jc w:val="both"/>
        <w:rPr>
          <w:rFonts w:ascii="Miriam" w:hAnsi="Miriam" w:cs="Miriam"/>
          <w:noProof w:val="0"/>
          <w:rtl/>
        </w:rPr>
      </w:pPr>
      <w:r w:rsidRPr="009B3267">
        <w:rPr>
          <w:rtl/>
        </w:rPr>
        <w:t xml:space="preserve">  " .....</w:t>
      </w:r>
      <w:r w:rsidRPr="009B3267">
        <w:rPr>
          <w:rFonts w:ascii="Miriam" w:hAnsi="Miriam" w:cs="Miriam"/>
          <w:rtl/>
        </w:rPr>
        <w:t xml:space="preserve">עוד יצוין כי אין אני נדרשת כלל לסוגיה באשר לנחיצות של מינוי מנהל עיזבון בשלב זה שעה שאין בבקשה כדי לעכב הליך של פירוק שיתוף במקרקעין. כך או כך, גם אם יש ממש בתביעות החוב של מי מהצדדים, הרי מהאמור בכתב התביעה של הנתבע 1 משתמע כי יש בחשבון הבנק של המנוחים די כספים לברר את האמור ואף אם לא כך, </w:t>
      </w:r>
      <w:r w:rsidRPr="009B3267">
        <w:rPr>
          <w:rFonts w:ascii="Miriam" w:hAnsi="Miriam" w:cs="Miriam"/>
          <w:u w:val="single"/>
          <w:rtl/>
        </w:rPr>
        <w:t xml:space="preserve">בהעדר תביעות חוב אין לבית המשפט דרך לבררן </w:t>
      </w:r>
      <w:r w:rsidRPr="009B3267">
        <w:rPr>
          <w:rFonts w:ascii="Miriam" w:hAnsi="Miriam" w:cs="Miriam"/>
          <w:rtl/>
        </w:rPr>
        <w:t xml:space="preserve">ואין באמירה במסגרת כתב ההגנה עילה לעיכוב הליך פירוק השיתוף. לכל היותר, היה מקום להסכים לפירוק השיתוף כפוף להסדרת תביעת החוב אולם כאמור אין לפני כל תביעת חוב." </w:t>
      </w:r>
    </w:p>
    <w:p w:rsidR="00CC7263" w:rsidRDefault="00CC7263" w:rsidP="00CC7263">
      <w:pPr>
        <w:spacing w:line="360" w:lineRule="auto"/>
        <w:ind w:left="720"/>
        <w:jc w:val="both"/>
        <w:rPr>
          <w:rFonts w:ascii="David" w:hAnsi="David"/>
          <w:noProof w:val="0"/>
          <w:rtl/>
        </w:rPr>
      </w:pPr>
    </w:p>
    <w:p w:rsidR="00CC7263" w:rsidRDefault="00CC7263" w:rsidP="00CC7263">
      <w:pPr>
        <w:spacing w:line="360" w:lineRule="auto"/>
        <w:ind w:left="720"/>
        <w:jc w:val="both"/>
        <w:rPr>
          <w:rFonts w:ascii="David" w:hAnsi="David"/>
          <w:noProof w:val="0"/>
          <w:rtl/>
        </w:rPr>
      </w:pPr>
      <w:r w:rsidRPr="009B3267">
        <w:rPr>
          <w:rFonts w:ascii="David" w:hAnsi="David"/>
          <w:noProof w:val="0"/>
          <w:rtl/>
        </w:rPr>
        <w:t xml:space="preserve">הדגשים אינם במקור (ל.א) </w:t>
      </w:r>
    </w:p>
    <w:p w:rsidR="00CC7263" w:rsidRPr="009B3267" w:rsidRDefault="00CC7263" w:rsidP="00CC7263">
      <w:pPr>
        <w:spacing w:line="360" w:lineRule="auto"/>
        <w:ind w:left="720"/>
        <w:jc w:val="both"/>
        <w:rPr>
          <w:rFonts w:ascii="David" w:hAnsi="David"/>
          <w:noProof w:val="0"/>
          <w:rtl/>
        </w:rPr>
      </w:pPr>
    </w:p>
    <w:p w:rsidR="00CC7263" w:rsidRDefault="00CC7263" w:rsidP="00CC7263">
      <w:pPr>
        <w:numPr>
          <w:ilvl w:val="0"/>
          <w:numId w:val="1"/>
        </w:numPr>
        <w:spacing w:line="360" w:lineRule="auto"/>
        <w:contextualSpacing/>
        <w:jc w:val="both"/>
        <w:rPr>
          <w:rFonts w:ascii="Arial" w:hAnsi="Arial"/>
          <w:noProof w:val="0"/>
        </w:rPr>
      </w:pPr>
      <w:r w:rsidRPr="009B3267">
        <w:rPr>
          <w:rFonts w:ascii="Arial" w:hAnsi="Arial"/>
          <w:noProof w:val="0"/>
          <w:rtl/>
        </w:rPr>
        <w:t xml:space="preserve">בקשות המבקש למינוי מנהל עיזבון הועברו בנוסף לתגובת ב"כ האפוטרופוס הכללי שהודיע כי אין בדעתו להתערב עם זאת התבקשה עמדת המשיבים לבקשה.  </w:t>
      </w:r>
    </w:p>
    <w:p w:rsidR="00CC7263" w:rsidRPr="009B3267" w:rsidRDefault="00CC7263" w:rsidP="00CC7263">
      <w:pPr>
        <w:spacing w:line="360" w:lineRule="auto"/>
        <w:ind w:left="786"/>
        <w:contextualSpacing/>
        <w:jc w:val="both"/>
        <w:rPr>
          <w:rFonts w:ascii="Arial" w:hAnsi="Arial"/>
          <w:noProof w:val="0"/>
        </w:rPr>
      </w:pPr>
    </w:p>
    <w:p w:rsidR="00CC7263" w:rsidRDefault="00CC7263" w:rsidP="00CC7263">
      <w:pPr>
        <w:numPr>
          <w:ilvl w:val="0"/>
          <w:numId w:val="1"/>
        </w:numPr>
        <w:spacing w:line="360" w:lineRule="auto"/>
        <w:contextualSpacing/>
        <w:jc w:val="both"/>
        <w:rPr>
          <w:rFonts w:ascii="Arial" w:hAnsi="Arial"/>
          <w:noProof w:val="0"/>
        </w:rPr>
      </w:pPr>
      <w:r w:rsidRPr="009B3267">
        <w:rPr>
          <w:rFonts w:ascii="Arial" w:hAnsi="Arial"/>
          <w:noProof w:val="0"/>
          <w:rtl/>
        </w:rPr>
        <w:t>עמדת המשיבים</w:t>
      </w:r>
      <w:r>
        <w:rPr>
          <w:rFonts w:ascii="Arial" w:hAnsi="Arial"/>
          <w:noProof w:val="0"/>
          <w:rtl/>
        </w:rPr>
        <w:t xml:space="preserve"> 1 ו-2  המתנ</w:t>
      </w:r>
      <w:r w:rsidRPr="009B3267">
        <w:rPr>
          <w:rFonts w:ascii="Arial" w:hAnsi="Arial"/>
          <w:noProof w:val="0"/>
          <w:rtl/>
        </w:rPr>
        <w:t xml:space="preserve">גדת לבקשה, הוגשה כל אחת בנפרד אולם הואיל ועיקרי הטענות דומות אציין בתמצית כי לטענות המשיבים הנ"ל אין מקום למינוי מנהל עיזבון, הואיל  ובקשת המבקש מתבססת על טענה בעניין חוב מהעיזבון, שלא הוגשו ולא צורפו כל אסמכתאות בעניין החוב הנטען, ולמעשה כל שנותר בעיזבון (לאחר הצו שניתן בעניין פירוק השיתוף) הוא חשבון בנק אחד שניתן לחלקו בנקל. בהקשר לאמור גם הפנתה המשיבה 1 לספרות ולפסיקה רלוונטית בנדון. עוד נטען שככל למי מהצדדים טענות בעניין הוצאות לכאורה,  אלו ניתנות להתחשבנות בנקל עם הצגת אסמכתאות רלוונטיות,  מבלי שקיים כל צורך במינוי מנהל עיזבון לשם כך. שעה שהמדובר למעשה בעיזבון פשוט אין כל צורך </w:t>
      </w:r>
      <w:r>
        <w:rPr>
          <w:rFonts w:ascii="Arial" w:hAnsi="Arial" w:hint="cs"/>
          <w:noProof w:val="0"/>
          <w:rtl/>
        </w:rPr>
        <w:t xml:space="preserve">או </w:t>
      </w:r>
      <w:r w:rsidRPr="009B3267">
        <w:rPr>
          <w:rFonts w:ascii="Arial" w:hAnsi="Arial"/>
          <w:noProof w:val="0"/>
          <w:rtl/>
        </w:rPr>
        <w:t xml:space="preserve">הצדקה למינוי מנהל עיזבון כך גם יש לקחת בחשבון את העלויות בהם יידרשו הצדדים לשאת בגין המינוי. ביקשו המשיבים כי שעה שלאור האמור מדובר הלכה למעשה בהליך סרק, יחויב המבקש בהוצאות. </w:t>
      </w:r>
    </w:p>
    <w:p w:rsidR="00CC7263" w:rsidRDefault="00CC7263" w:rsidP="00CC7263">
      <w:pPr>
        <w:pStyle w:val="a9"/>
        <w:rPr>
          <w:rFonts w:ascii="Arial" w:hAnsi="Arial"/>
          <w:noProof w:val="0"/>
          <w:rtl/>
        </w:rPr>
      </w:pPr>
    </w:p>
    <w:p w:rsidR="00CC7263" w:rsidRDefault="00CC7263" w:rsidP="00CC7263">
      <w:pPr>
        <w:numPr>
          <w:ilvl w:val="0"/>
          <w:numId w:val="1"/>
        </w:numPr>
        <w:spacing w:line="360" w:lineRule="auto"/>
        <w:contextualSpacing/>
        <w:jc w:val="both"/>
        <w:rPr>
          <w:rFonts w:ascii="Arial" w:hAnsi="Arial"/>
          <w:noProof w:val="0"/>
        </w:rPr>
      </w:pPr>
      <w:r w:rsidRPr="009B3267">
        <w:rPr>
          <w:rFonts w:ascii="Arial" w:hAnsi="Arial"/>
          <w:noProof w:val="0"/>
          <w:rtl/>
        </w:rPr>
        <w:t xml:space="preserve">המשיב 3 לא הגיש תגובתו לבקשה. </w:t>
      </w:r>
    </w:p>
    <w:p w:rsidR="00CC7263" w:rsidRDefault="00CC7263" w:rsidP="00CC7263">
      <w:pPr>
        <w:pStyle w:val="a9"/>
        <w:rPr>
          <w:rFonts w:ascii="Arial" w:hAnsi="Arial"/>
          <w:noProof w:val="0"/>
          <w:rtl/>
        </w:rPr>
      </w:pPr>
    </w:p>
    <w:p w:rsidR="00CC7263" w:rsidRDefault="00CC7263" w:rsidP="00CC7263">
      <w:pPr>
        <w:numPr>
          <w:ilvl w:val="0"/>
          <w:numId w:val="1"/>
        </w:numPr>
        <w:spacing w:line="360" w:lineRule="auto"/>
        <w:contextualSpacing/>
        <w:jc w:val="both"/>
        <w:rPr>
          <w:rFonts w:ascii="Arial" w:hAnsi="Arial"/>
          <w:noProof w:val="0"/>
        </w:rPr>
      </w:pPr>
      <w:r w:rsidRPr="009B3267">
        <w:rPr>
          <w:rFonts w:ascii="Arial" w:hAnsi="Arial"/>
          <w:noProof w:val="0"/>
          <w:rtl/>
        </w:rPr>
        <w:lastRenderedPageBreak/>
        <w:t xml:space="preserve">ביום 21.03.24 ניתנה החלטתי ולפיה על המבקש להבהיר האם לנוכח התנגדות שניים מהמשיבים, ולאור האמור בפסק הדין בתיק הקשור, כמפורט לעיל, ובהיעדר אסמכתאות לחוב הנטען במסגרת הליך מתאים, האם עומד הוא על בירור בקשתו. </w:t>
      </w:r>
    </w:p>
    <w:p w:rsidR="00CC7263" w:rsidRDefault="00CC7263" w:rsidP="00CC7263">
      <w:pPr>
        <w:pStyle w:val="a9"/>
        <w:rPr>
          <w:rFonts w:ascii="Arial" w:hAnsi="Arial"/>
          <w:noProof w:val="0"/>
          <w:rtl/>
        </w:rPr>
      </w:pPr>
    </w:p>
    <w:p w:rsidR="00CC7263" w:rsidRDefault="00CC7263" w:rsidP="00CC7263">
      <w:pPr>
        <w:numPr>
          <w:ilvl w:val="0"/>
          <w:numId w:val="1"/>
        </w:numPr>
        <w:spacing w:line="360" w:lineRule="auto"/>
        <w:contextualSpacing/>
        <w:jc w:val="both"/>
        <w:rPr>
          <w:rFonts w:ascii="Arial" w:hAnsi="Arial"/>
          <w:noProof w:val="0"/>
        </w:rPr>
      </w:pPr>
      <w:r w:rsidRPr="009B3267">
        <w:rPr>
          <w:rFonts w:ascii="Arial" w:hAnsi="Arial"/>
          <w:noProof w:val="0"/>
          <w:rtl/>
        </w:rPr>
        <w:t xml:space="preserve">המשיב הגיש תגובתו ביום 08.04.24. בעיקרון טען המבקש כי לגישתו נסיבות העניין מצדיקות מינוי מנהל עיזבון, לנוכח המחלוקת בין הצדדים בעניין החוב הנטען כלפי המבקש, ובין השאר לנוכח תפקידו של מנהל עיזבון לניהול העיזבון וחלוקתו אל מול בחינת דרישת חוב של כלל הנושים מן העיזבון, באופן זה לטענת המבקש יתייעל הדיון שכן יחסכו משאבים שיפוטיים ומשאבי הצדדים שעה שבקשות כלל הנושים ינוהלו אל מול מנהל העיזבון, תחת  ניהול הליך נפרד של כל אחד מהנושים אל מול העיזבון. עם זאת וחרף האמור, ציין המבקש, כי הוא מסכים למחיקת הבקשות, אולם ללא צו להוצאות. </w:t>
      </w:r>
    </w:p>
    <w:p w:rsidR="00CC7263" w:rsidRDefault="00CC7263" w:rsidP="00CC7263">
      <w:pPr>
        <w:pStyle w:val="a9"/>
        <w:rPr>
          <w:rFonts w:ascii="Arial" w:hAnsi="Arial"/>
          <w:noProof w:val="0"/>
          <w:rtl/>
        </w:rPr>
      </w:pPr>
    </w:p>
    <w:p w:rsidR="00CC7263" w:rsidRDefault="00CC7263" w:rsidP="00CC7263">
      <w:pPr>
        <w:numPr>
          <w:ilvl w:val="0"/>
          <w:numId w:val="1"/>
        </w:numPr>
        <w:spacing w:line="360" w:lineRule="auto"/>
        <w:contextualSpacing/>
        <w:jc w:val="both"/>
        <w:rPr>
          <w:rFonts w:ascii="Arial" w:hAnsi="Arial"/>
          <w:noProof w:val="0"/>
        </w:rPr>
      </w:pPr>
      <w:r w:rsidRPr="009B3267">
        <w:rPr>
          <w:rFonts w:ascii="Arial" w:hAnsi="Arial"/>
          <w:noProof w:val="0"/>
          <w:rtl/>
        </w:rPr>
        <w:t xml:space="preserve">לאור האמור בתגובה ניתן פסק דין המורה על מחיקת הבקשות. המשיבים התבקשו ליתן תגובתם בעניין ההוצאות. </w:t>
      </w:r>
    </w:p>
    <w:p w:rsidR="00CC7263" w:rsidRDefault="00CC7263" w:rsidP="00CC7263">
      <w:pPr>
        <w:pStyle w:val="a9"/>
        <w:rPr>
          <w:rFonts w:ascii="Arial" w:hAnsi="Arial"/>
          <w:noProof w:val="0"/>
          <w:rtl/>
        </w:rPr>
      </w:pPr>
    </w:p>
    <w:p w:rsidR="00CC7263" w:rsidRDefault="00CC7263" w:rsidP="00CC7263">
      <w:pPr>
        <w:numPr>
          <w:ilvl w:val="0"/>
          <w:numId w:val="1"/>
        </w:numPr>
        <w:spacing w:line="360" w:lineRule="auto"/>
        <w:contextualSpacing/>
        <w:jc w:val="both"/>
        <w:rPr>
          <w:rFonts w:ascii="Arial" w:hAnsi="Arial"/>
          <w:noProof w:val="0"/>
        </w:rPr>
      </w:pPr>
      <w:r w:rsidRPr="009B3267">
        <w:rPr>
          <w:rFonts w:ascii="Arial" w:hAnsi="Arial"/>
          <w:noProof w:val="0"/>
          <w:rtl/>
        </w:rPr>
        <w:t xml:space="preserve">המשיב 2 הגיש תגובתו ולפיה הוא עומד על חיוב המבקש בהוצאות בסך 5,000 ₪ בתוספת מע"מ בגין הוצאות וטרחה שנגרמו לו בשל הצורך להשיב לשתי הבקשות שהגיש המבקש על אף הערות בית המשפט בפסק הדין והדיון שנערך בפועל בעניין הבקשות. </w:t>
      </w:r>
    </w:p>
    <w:p w:rsidR="00CC7263" w:rsidRDefault="00CC7263" w:rsidP="00CC7263">
      <w:pPr>
        <w:pStyle w:val="a9"/>
        <w:rPr>
          <w:rFonts w:ascii="Arial" w:hAnsi="Arial"/>
          <w:noProof w:val="0"/>
          <w:rtl/>
        </w:rPr>
      </w:pPr>
    </w:p>
    <w:p w:rsidR="00CC7263" w:rsidRDefault="00CC7263" w:rsidP="00CC7263">
      <w:pPr>
        <w:numPr>
          <w:ilvl w:val="0"/>
          <w:numId w:val="1"/>
        </w:numPr>
        <w:spacing w:line="360" w:lineRule="auto"/>
        <w:contextualSpacing/>
        <w:jc w:val="both"/>
        <w:rPr>
          <w:rFonts w:ascii="Arial" w:hAnsi="Arial"/>
          <w:noProof w:val="0"/>
        </w:rPr>
      </w:pPr>
      <w:r w:rsidRPr="009B3267">
        <w:rPr>
          <w:rFonts w:ascii="Arial" w:hAnsi="Arial"/>
          <w:noProof w:val="0"/>
          <w:rtl/>
        </w:rPr>
        <w:t xml:space="preserve">המשיבה 1 הגישה תגובתה ולפיה עומדת גם היא על פסיקת הוצאות בסך 6,000 ₪ לחובת המבקש זאת בשל ניהול הליך סרק  והארכת הדיון שלא לצורך . </w:t>
      </w:r>
    </w:p>
    <w:p w:rsidR="00CC7263" w:rsidRDefault="00CC7263" w:rsidP="00CC7263">
      <w:pPr>
        <w:pStyle w:val="a9"/>
        <w:rPr>
          <w:rFonts w:ascii="Arial" w:hAnsi="Arial"/>
          <w:noProof w:val="0"/>
          <w:rtl/>
        </w:rPr>
      </w:pPr>
    </w:p>
    <w:p w:rsidR="00CC7263" w:rsidRDefault="00CC7263" w:rsidP="00CC7263">
      <w:pPr>
        <w:numPr>
          <w:ilvl w:val="0"/>
          <w:numId w:val="1"/>
        </w:numPr>
        <w:spacing w:line="360" w:lineRule="auto"/>
        <w:contextualSpacing/>
        <w:jc w:val="both"/>
        <w:rPr>
          <w:rFonts w:ascii="Arial" w:hAnsi="Arial"/>
          <w:noProof w:val="0"/>
        </w:rPr>
      </w:pPr>
      <w:r w:rsidRPr="009B3267">
        <w:rPr>
          <w:rFonts w:ascii="Arial" w:hAnsi="Arial"/>
          <w:noProof w:val="0"/>
          <w:rtl/>
        </w:rPr>
        <w:lastRenderedPageBreak/>
        <w:t>המבקש הגיש תשובתו לתגובות ולפיהן, עומד הוא על דעתו כי היה מקום להגשת הבקשות, כי המבקש שלא כנטען, הניח  תשתית עובדתית ומשפטית שהצדיקה את הגשת הבקשות, ועל כן שעה שחרף האמור תוך שמירת זכותו</w:t>
      </w:r>
      <w:r>
        <w:rPr>
          <w:rFonts w:ascii="Arial" w:hAnsi="Arial"/>
          <w:noProof w:val="0"/>
          <w:rtl/>
        </w:rPr>
        <w:t xml:space="preserve"> לטעון טענותיו בכל הליך משפטי, </w:t>
      </w:r>
      <w:r w:rsidRPr="009B3267">
        <w:rPr>
          <w:rFonts w:ascii="Arial" w:hAnsi="Arial"/>
          <w:noProof w:val="0"/>
          <w:rtl/>
        </w:rPr>
        <w:t xml:space="preserve">הסכים למחיקת הבקשות, אולם בתנאי שלא יחויב בהוצאות. </w:t>
      </w:r>
    </w:p>
    <w:p w:rsidR="00CC7263" w:rsidRDefault="00CC7263" w:rsidP="00CC7263">
      <w:pPr>
        <w:pStyle w:val="a9"/>
        <w:rPr>
          <w:rFonts w:ascii="Arial" w:hAnsi="Arial"/>
          <w:noProof w:val="0"/>
          <w:rtl/>
        </w:rPr>
      </w:pPr>
    </w:p>
    <w:p w:rsidR="00CC7263" w:rsidRDefault="00CC7263" w:rsidP="00CC7263">
      <w:pPr>
        <w:spacing w:line="360" w:lineRule="auto"/>
        <w:ind w:left="786"/>
        <w:contextualSpacing/>
        <w:jc w:val="both"/>
        <w:rPr>
          <w:rFonts w:ascii="Arial" w:hAnsi="Arial"/>
          <w:noProof w:val="0"/>
          <w:rtl/>
        </w:rPr>
      </w:pPr>
      <w:r w:rsidRPr="009B3267">
        <w:rPr>
          <w:rFonts w:ascii="Arial" w:hAnsi="Arial"/>
          <w:noProof w:val="0"/>
          <w:rtl/>
        </w:rPr>
        <w:t xml:space="preserve">בהחלטתי בהקשר לאמור הוריתי למבקש להבהיר לנוכח הדברים האם לנוכח עמדת המשיבים העומדים על פסיקת הוצאות, מבקש הוא את המשך בירור בקשתו אם לאו. </w:t>
      </w:r>
    </w:p>
    <w:p w:rsidR="00CC7263" w:rsidRDefault="00CC7263" w:rsidP="00CC7263">
      <w:pPr>
        <w:spacing w:line="360" w:lineRule="auto"/>
        <w:ind w:left="786"/>
        <w:contextualSpacing/>
        <w:jc w:val="both"/>
        <w:rPr>
          <w:rFonts w:ascii="Arial" w:hAnsi="Arial"/>
          <w:noProof w:val="0"/>
          <w:rtl/>
        </w:rPr>
      </w:pPr>
    </w:p>
    <w:p w:rsidR="00CC7263" w:rsidRDefault="00CC7263" w:rsidP="00CC7263">
      <w:pPr>
        <w:spacing w:line="360" w:lineRule="auto"/>
        <w:ind w:left="786"/>
        <w:contextualSpacing/>
        <w:jc w:val="both"/>
        <w:rPr>
          <w:rFonts w:ascii="Arial" w:hAnsi="Arial"/>
          <w:noProof w:val="0"/>
          <w:rtl/>
        </w:rPr>
      </w:pPr>
      <w:r w:rsidRPr="009B3267">
        <w:rPr>
          <w:rFonts w:ascii="Arial" w:hAnsi="Arial"/>
          <w:noProof w:val="0"/>
          <w:rtl/>
        </w:rPr>
        <w:t xml:space="preserve">המבקש הבהיר כי אינו עומד על המשך בירור תביעתו, אולם תשובתו נועדה להצביע על הצורך בהגשת הבקשות, ובכל מקרה חזר המבקש על טענותיו כי הוציא עשרות אלפי שקלים הוצאות שונות כמפורט בבקשה, הוצאות שהיה על המשיבים לשאת בהם , ועל כן אין  כל מקום לחייבו בהוצאות. </w:t>
      </w:r>
    </w:p>
    <w:p w:rsidR="00CC7263" w:rsidRPr="009B3267" w:rsidRDefault="00CC7263" w:rsidP="00CC7263">
      <w:pPr>
        <w:spacing w:line="360" w:lineRule="auto"/>
        <w:ind w:left="786"/>
        <w:contextualSpacing/>
        <w:jc w:val="both"/>
        <w:rPr>
          <w:rFonts w:ascii="Arial" w:hAnsi="Arial"/>
          <w:noProof w:val="0"/>
        </w:rPr>
      </w:pPr>
    </w:p>
    <w:p w:rsidR="00CC7263" w:rsidRDefault="00CC7263" w:rsidP="00CC7263">
      <w:pPr>
        <w:spacing w:line="360" w:lineRule="auto"/>
        <w:ind w:left="720"/>
        <w:contextualSpacing/>
        <w:jc w:val="both"/>
        <w:rPr>
          <w:rFonts w:ascii="Arial" w:hAnsi="Arial"/>
          <w:b/>
          <w:bCs/>
          <w:noProof w:val="0"/>
          <w:u w:val="single"/>
          <w:rtl/>
        </w:rPr>
      </w:pPr>
      <w:r w:rsidRPr="006B3502">
        <w:rPr>
          <w:rFonts w:ascii="Arial" w:hAnsi="Arial"/>
          <w:b/>
          <w:bCs/>
          <w:noProof w:val="0"/>
          <w:u w:val="single"/>
          <w:rtl/>
        </w:rPr>
        <w:t xml:space="preserve">דיון והכרעה </w:t>
      </w:r>
    </w:p>
    <w:p w:rsidR="00CC7263" w:rsidRPr="006B3502" w:rsidRDefault="00CC7263" w:rsidP="00CC7263">
      <w:pPr>
        <w:spacing w:line="360" w:lineRule="auto"/>
        <w:ind w:left="720"/>
        <w:contextualSpacing/>
        <w:jc w:val="both"/>
        <w:rPr>
          <w:rFonts w:ascii="Arial" w:hAnsi="Arial"/>
          <w:b/>
          <w:bCs/>
          <w:noProof w:val="0"/>
          <w:u w:val="single"/>
        </w:rPr>
      </w:pPr>
    </w:p>
    <w:p w:rsidR="00CC7263" w:rsidRPr="006B3502" w:rsidRDefault="00CC7263" w:rsidP="00CC7263">
      <w:pPr>
        <w:numPr>
          <w:ilvl w:val="0"/>
          <w:numId w:val="1"/>
        </w:numPr>
        <w:spacing w:line="360" w:lineRule="auto"/>
        <w:contextualSpacing/>
        <w:jc w:val="both"/>
        <w:rPr>
          <w:rFonts w:ascii="Arial" w:hAnsi="Arial"/>
          <w:noProof w:val="0"/>
          <w:u w:val="single"/>
        </w:rPr>
      </w:pPr>
      <w:r w:rsidRPr="009B3267">
        <w:rPr>
          <w:rFonts w:ascii="Arial" w:hAnsi="Arial"/>
          <w:noProof w:val="0"/>
          <w:rtl/>
        </w:rPr>
        <w:t xml:space="preserve">לאחר שעיינתי בחומר המצוי בתיק ועמדות הצדדים בהקשר לחיוב בהוצאות, מצאתי כי יש מקום לחייב את המבקש לשאת בהוצאות בגין ההליך, כפי שיפורט בהמשך. </w:t>
      </w:r>
    </w:p>
    <w:p w:rsidR="00CC7263" w:rsidRPr="009B3267" w:rsidRDefault="00CC7263" w:rsidP="00CC7263">
      <w:pPr>
        <w:spacing w:line="360" w:lineRule="auto"/>
        <w:ind w:left="786"/>
        <w:contextualSpacing/>
        <w:jc w:val="both"/>
        <w:rPr>
          <w:rFonts w:ascii="Arial" w:hAnsi="Arial"/>
          <w:noProof w:val="0"/>
          <w:u w:val="single"/>
          <w:rtl/>
        </w:rPr>
      </w:pPr>
    </w:p>
    <w:p w:rsidR="00CC7263" w:rsidRPr="006B3502" w:rsidRDefault="00CC7263" w:rsidP="00CC7263">
      <w:pPr>
        <w:numPr>
          <w:ilvl w:val="0"/>
          <w:numId w:val="1"/>
        </w:numPr>
        <w:spacing w:line="360" w:lineRule="auto"/>
        <w:contextualSpacing/>
        <w:jc w:val="both"/>
        <w:rPr>
          <w:rFonts w:ascii="Arial" w:hAnsi="Arial"/>
          <w:noProof w:val="0"/>
          <w:u w:val="single"/>
        </w:rPr>
      </w:pPr>
      <w:r w:rsidRPr="009B3267">
        <w:rPr>
          <w:rFonts w:ascii="Arial" w:hAnsi="Arial"/>
          <w:noProof w:val="0"/>
          <w:rtl/>
        </w:rPr>
        <w:lastRenderedPageBreak/>
        <w:t>מצאתי לציין, כי את הבקשה להפסקת התובענות לא יזם המבקש, אלא רק בעקבות ה</w:t>
      </w:r>
      <w:r>
        <w:rPr>
          <w:rFonts w:ascii="Arial" w:hAnsi="Arial"/>
          <w:noProof w:val="0"/>
          <w:rtl/>
        </w:rPr>
        <w:t xml:space="preserve">תגובה שנתבקשה על ידי בית המשפט </w:t>
      </w:r>
      <w:r w:rsidRPr="009B3267">
        <w:rPr>
          <w:rFonts w:ascii="Arial" w:hAnsi="Arial"/>
          <w:noProof w:val="0"/>
          <w:rtl/>
        </w:rPr>
        <w:t>בהתאם להחלטה מיום 21.03.24 כמפורט לעיל, אולם, שעה שהלכה למעשה משמעות הסכמת המבקש היא</w:t>
      </w:r>
      <w:r>
        <w:rPr>
          <w:rFonts w:ascii="Arial" w:hAnsi="Arial" w:hint="cs"/>
          <w:noProof w:val="0"/>
          <w:rtl/>
        </w:rPr>
        <w:t xml:space="preserve"> </w:t>
      </w:r>
      <w:r w:rsidRPr="009B3267">
        <w:rPr>
          <w:rFonts w:ascii="Arial" w:hAnsi="Arial"/>
          <w:noProof w:val="0"/>
          <w:rtl/>
        </w:rPr>
        <w:t>למחיקת התובענות זו תיבחן בין השאר בהתאם להוראות תקנה 44 לתקנות סדר הדין האזרחי, התשע"ט-2018 (להלן: "התקנות ")</w:t>
      </w:r>
      <w:r>
        <w:rPr>
          <w:rFonts w:ascii="Arial" w:hAnsi="Arial" w:hint="cs"/>
          <w:noProof w:val="0"/>
          <w:rtl/>
        </w:rPr>
        <w:t>.</w:t>
      </w:r>
    </w:p>
    <w:p w:rsidR="00CC7263" w:rsidRDefault="00CC7263" w:rsidP="00CC7263">
      <w:pPr>
        <w:pStyle w:val="a9"/>
        <w:rPr>
          <w:rFonts w:ascii="Arial" w:hAnsi="Arial"/>
          <w:noProof w:val="0"/>
          <w:u w:val="single"/>
          <w:rtl/>
        </w:rPr>
      </w:pPr>
    </w:p>
    <w:p w:rsidR="00CC7263" w:rsidRPr="009B3267" w:rsidRDefault="00CC7263" w:rsidP="00CC7263">
      <w:pPr>
        <w:spacing w:after="160" w:line="360" w:lineRule="auto"/>
        <w:ind w:left="786"/>
        <w:contextualSpacing/>
        <w:jc w:val="both"/>
        <w:rPr>
          <w:rFonts w:ascii="David" w:hAnsi="David"/>
        </w:rPr>
      </w:pPr>
      <w:r w:rsidRPr="009B3267">
        <w:rPr>
          <w:rFonts w:ascii="David" w:hAnsi="David"/>
          <w:rtl/>
        </w:rPr>
        <w:t>תקנה 44 לתקנות קובעת כדלקמן</w:t>
      </w:r>
      <w:r w:rsidRPr="009B3267">
        <w:rPr>
          <w:rFonts w:ascii="David" w:hAnsi="David"/>
        </w:rPr>
        <w:t>:</w:t>
      </w:r>
    </w:p>
    <w:p w:rsidR="00CC7263" w:rsidRDefault="00CC7263" w:rsidP="00CC7263">
      <w:pPr>
        <w:spacing w:line="360" w:lineRule="auto"/>
        <w:ind w:left="1417" w:right="1134"/>
        <w:jc w:val="both"/>
        <w:rPr>
          <w:rFonts w:ascii="Miriam" w:hAnsi="Miriam" w:cs="Miriam"/>
          <w:rtl/>
        </w:rPr>
      </w:pPr>
      <w:r>
        <w:rPr>
          <w:rFonts w:ascii="Miriam" w:hAnsi="Miriam" w:cs="Miriam" w:hint="cs"/>
          <w:rtl/>
        </w:rPr>
        <w:t xml:space="preserve">"(א) </w:t>
      </w:r>
      <w:r w:rsidRPr="009B3267">
        <w:rPr>
          <w:rFonts w:ascii="Miriam" w:hAnsi="Miriam" w:cs="Miriam"/>
          <w:rtl/>
        </w:rPr>
        <w:t xml:space="preserve">בית המשפט רשאי, לבקשת תובע, להפסיק תובענה, כולה או מקצתה. </w:t>
      </w:r>
    </w:p>
    <w:p w:rsidR="00CC7263" w:rsidRDefault="00CC7263" w:rsidP="00CC7263">
      <w:pPr>
        <w:spacing w:line="360" w:lineRule="auto"/>
        <w:ind w:left="1417" w:right="1134"/>
        <w:jc w:val="both"/>
        <w:rPr>
          <w:rFonts w:ascii="Miriam" w:hAnsi="Miriam" w:cs="Miriam"/>
          <w:rtl/>
        </w:rPr>
      </w:pPr>
      <w:r w:rsidRPr="009B3267">
        <w:rPr>
          <w:rFonts w:ascii="Miriam" w:hAnsi="Miriam" w:cs="Miriam"/>
          <w:rtl/>
        </w:rPr>
        <w:t>(ב) הפסקת תובענה תהיה על דרך של מחיקת כתב התביעה</w:t>
      </w:r>
      <w:r w:rsidRPr="009B3267">
        <w:rPr>
          <w:rFonts w:ascii="Miriam" w:hAnsi="Miriam" w:cs="Miriam"/>
        </w:rPr>
        <w:t>".</w:t>
      </w:r>
    </w:p>
    <w:p w:rsidR="00CC7263" w:rsidRPr="009B3267" w:rsidRDefault="00CC7263" w:rsidP="00CC7263">
      <w:pPr>
        <w:spacing w:line="360" w:lineRule="auto"/>
        <w:ind w:left="720"/>
        <w:jc w:val="both"/>
        <w:rPr>
          <w:rFonts w:ascii="Arial" w:hAnsi="Arial"/>
          <w:noProof w:val="0"/>
          <w:u w:val="single"/>
        </w:rPr>
      </w:pPr>
    </w:p>
    <w:p w:rsidR="00CC7263" w:rsidRPr="009B3267" w:rsidRDefault="00CC7263" w:rsidP="00CC7263">
      <w:pPr>
        <w:numPr>
          <w:ilvl w:val="0"/>
          <w:numId w:val="1"/>
        </w:numPr>
        <w:spacing w:line="360" w:lineRule="auto"/>
        <w:contextualSpacing/>
        <w:jc w:val="both"/>
        <w:rPr>
          <w:rFonts w:ascii="Arial" w:hAnsi="Arial"/>
        </w:rPr>
      </w:pPr>
      <w:r w:rsidRPr="009B3267">
        <w:rPr>
          <w:rFonts w:ascii="Arial" w:hAnsi="Arial"/>
          <w:rtl/>
        </w:rPr>
        <w:t xml:space="preserve">הכלל בהלכה הפסוקה קובע כי מחיקת התביעה על ידי מגישו אינה עילה שלא לפסוק בהוצאות אלא בנסיבות המצדיקות זאת. בבג"צ 738/99 </w:t>
      </w:r>
      <w:r w:rsidRPr="009B3267">
        <w:rPr>
          <w:rFonts w:ascii="Arial" w:hAnsi="Arial"/>
          <w:b/>
          <w:bCs/>
          <w:u w:val="single"/>
          <w:rtl/>
        </w:rPr>
        <w:t>הסוכנות היהודית לארץ ישראל נ' מנהל מקרקעי ישראל</w:t>
      </w:r>
      <w:r w:rsidRPr="009B3267">
        <w:rPr>
          <w:rFonts w:ascii="Arial" w:hAnsi="Arial"/>
          <w:rtl/>
        </w:rPr>
        <w:t>, (פורסם במאגרים משפטיים, 09.07.2008) נפסק כך:</w:t>
      </w:r>
    </w:p>
    <w:p w:rsidR="00CC7263" w:rsidRDefault="00CC7263" w:rsidP="00CC7263">
      <w:pPr>
        <w:spacing w:line="360" w:lineRule="auto"/>
        <w:ind w:left="1417" w:right="993"/>
        <w:contextualSpacing/>
        <w:jc w:val="both"/>
        <w:rPr>
          <w:rFonts w:ascii="Miriam" w:hAnsi="Miriam" w:cs="Miriam"/>
          <w:rtl/>
        </w:rPr>
      </w:pPr>
      <w:r w:rsidRPr="009B3267">
        <w:rPr>
          <w:rFonts w:ascii="Miriam" w:hAnsi="Miriam" w:cs="Miriam"/>
          <w:color w:val="000000"/>
          <w:shd w:val="clear" w:color="auto" w:fill="FFFFFF"/>
          <w:rtl/>
        </w:rPr>
        <w:t>"...ככל, יש טעם רב בעמדה לפיה מקום בו נמחק הליך על ידי מגישו בטרם התברר והוכרע לגופו, ישא מגיש ההליך בהוצאות להן גרם לבעל הדין שכנגד. בעל דין היוזם הליך כלפי יריבו, תוך גרירתו להוצאות, חייב להניח כי אם הוא חוזר בו מן ההליך שנקט, יעמוד יריבו על ההוצאות שנגרמו לו. עם זאת, לא בכל מקום בו חוזר בו בעל דין מן ההליך, יביא הדבר בהכרח לחיובו בהוצאות הצד שכנגד. יישומו של העיקרון נבחן בכל מקרה לפי נסיבותיו, בין היתר, בשים לב לשאלה מדוע חזר בו יוזם ההליך מההליך שהגיש</w:t>
      </w:r>
      <w:r w:rsidRPr="009B3267">
        <w:rPr>
          <w:rFonts w:ascii="Miriam" w:hAnsi="Miriam" w:cs="Miriam"/>
          <w:rtl/>
        </w:rPr>
        <w:t>."</w:t>
      </w:r>
    </w:p>
    <w:p w:rsidR="00CC7263" w:rsidRPr="009B3267" w:rsidRDefault="00CC7263" w:rsidP="00CC7263">
      <w:pPr>
        <w:spacing w:line="360" w:lineRule="auto"/>
        <w:ind w:left="1417" w:right="993"/>
        <w:contextualSpacing/>
        <w:jc w:val="both"/>
        <w:rPr>
          <w:rFonts w:ascii="Miriam" w:hAnsi="Miriam" w:cs="Miriam"/>
        </w:rPr>
      </w:pPr>
    </w:p>
    <w:p w:rsidR="00CC7263" w:rsidRPr="009B3267" w:rsidRDefault="00CC7263" w:rsidP="00CC7263">
      <w:pPr>
        <w:numPr>
          <w:ilvl w:val="0"/>
          <w:numId w:val="1"/>
        </w:numPr>
        <w:spacing w:after="160" w:line="360" w:lineRule="auto"/>
        <w:contextualSpacing/>
        <w:jc w:val="both"/>
        <w:rPr>
          <w:rFonts w:ascii="Miriam" w:hAnsi="Miriam" w:cs="Miriam"/>
          <w:rtl/>
        </w:rPr>
      </w:pPr>
      <w:r w:rsidRPr="009B3267">
        <w:rPr>
          <w:rFonts w:ascii="David" w:hAnsi="David"/>
          <w:rtl/>
        </w:rPr>
        <w:t>ב</w:t>
      </w:r>
      <w:hyperlink r:id="rId7" w:history="1">
        <w:r w:rsidRPr="009B3267">
          <w:rPr>
            <w:rFonts w:ascii="David" w:hAnsi="David"/>
            <w:rtl/>
          </w:rPr>
          <w:t>רע"א 7650/20 </w:t>
        </w:r>
        <w:r w:rsidRPr="009B3267">
          <w:rPr>
            <w:rFonts w:ascii="David" w:hAnsi="David"/>
            <w:b/>
            <w:bCs/>
          </w:rPr>
          <w:t xml:space="preserve">Magic Software Enterprises Ltd </w:t>
        </w:r>
        <w:r w:rsidRPr="009B3267">
          <w:rPr>
            <w:rFonts w:ascii="David" w:hAnsi="David"/>
            <w:b/>
            <w:bCs/>
            <w:rtl/>
          </w:rPr>
          <w:t>נ' פאיירפלאי בע"מ</w:t>
        </w:r>
        <w:r w:rsidRPr="009B3267">
          <w:rPr>
            <w:rFonts w:ascii="David" w:hAnsi="David"/>
            <w:rtl/>
          </w:rPr>
          <w:t> (נבו 28.12.2020)‏</w:t>
        </w:r>
      </w:hyperlink>
      <w:r w:rsidRPr="009B3267">
        <w:rPr>
          <w:rFonts w:ascii="David" w:hAnsi="David"/>
          <w:rtl/>
        </w:rPr>
        <w:t>‏ נקבע:</w:t>
      </w:r>
    </w:p>
    <w:p w:rsidR="00CC7263" w:rsidRPr="009B3267" w:rsidRDefault="00CC7263" w:rsidP="00CC7263">
      <w:pPr>
        <w:spacing w:line="360" w:lineRule="auto"/>
        <w:ind w:left="1417" w:right="993"/>
        <w:contextualSpacing/>
        <w:jc w:val="both"/>
        <w:rPr>
          <w:rFonts w:ascii="Miriam" w:hAnsi="Miriam" w:cs="Miriam"/>
        </w:rPr>
      </w:pPr>
      <w:r w:rsidRPr="009B3267">
        <w:rPr>
          <w:rFonts w:ascii="Miriam" w:hAnsi="Miriam" w:cs="Miriam"/>
          <w:rtl/>
        </w:rPr>
        <w:lastRenderedPageBreak/>
        <w:t>"נקודת המוצא היא כי בעל דין שאינו זוכה בהליך יחויב בהוצאותיו הריאליות של הצד שכנגד שזכה. הדבר נועד למנוע חיסרון כיס של הצד הזוכה; להרתיע תובעים בכוח מנקיטת הליכי סרק; ולעודד נתבעים בכוח להימנע מהתגוננות סרק מפני תביעה ראויה</w:t>
      </w:r>
      <w:r w:rsidRPr="009B3267">
        <w:rPr>
          <w:rFonts w:ascii="Miriam" w:hAnsi="Miriam" w:cs="Miriam"/>
        </w:rPr>
        <w:t xml:space="preserve"> (</w:t>
      </w:r>
      <w:r w:rsidRPr="009B3267">
        <w:rPr>
          <w:rFonts w:ascii="Miriam" w:hAnsi="Miriam" w:cs="Miriam"/>
          <w:rtl/>
        </w:rPr>
        <w:t>ע"א 9648/16 אורהייטק</w:t>
      </w:r>
      <w:r w:rsidRPr="009B3267">
        <w:rPr>
          <w:rFonts w:ascii="Miriam" w:hAnsi="Miriam" w:cs="Miriam"/>
        </w:rPr>
        <w:t xml:space="preserve"> GIS </w:t>
      </w:r>
      <w:r w:rsidRPr="009B3267">
        <w:rPr>
          <w:rFonts w:ascii="Miriam" w:hAnsi="Miriam" w:cs="Miriam"/>
          <w:rtl/>
        </w:rPr>
        <w:t>בע"מ נ' חן אביטן משרד עורכי דין, [פורסם בנבו] פסקה 67</w:t>
      </w:r>
      <w:r w:rsidRPr="009B3267">
        <w:rPr>
          <w:rFonts w:ascii="Miriam" w:hAnsi="Miriam" w:cs="Miriam"/>
        </w:rPr>
        <w:t xml:space="preserve"> (28.2.2018)). </w:t>
      </w:r>
      <w:r w:rsidRPr="009B3267">
        <w:rPr>
          <w:rFonts w:ascii="Miriam" w:hAnsi="Miriam" w:cs="Miriam"/>
          <w:rtl/>
        </w:rPr>
        <w:t>עם זאת, פסיקת הוצאות בשיעור ריאלי כפופה להיותן סבירות, מידתיות והכרחיות לניהול ההליך. הדרישה לסבירות ומידתיות ההוצאות באה למנוע מצב שבו הוצאות גבוהות יתר על המידה שיוטלו יביאו להרתעת יתר של בעלי הדין, ליצירת חוסר שוויון, ייקור של ההליכים המשפטיים ולפגיעה בזכות הגישה לערכאות (ע"א 2617/00 מחצבות כנרת (שותפות מוגבלת) נ' הוועדה המקומית לתכנון ולבנייה, נצרת עלית, פ"ד ס(1) 612</w:t>
      </w:r>
      <w:r w:rsidRPr="009B3267">
        <w:rPr>
          <w:rFonts w:ascii="Miriam" w:hAnsi="Miriam" w:cs="Miriam"/>
        </w:rPr>
        <w:t xml:space="preserve"> (2005)</w:t>
      </w:r>
      <w:r w:rsidRPr="009B3267">
        <w:rPr>
          <w:rFonts w:ascii="Miriam" w:hAnsi="Miriam" w:cs="Miriam"/>
          <w:rtl/>
        </w:rPr>
        <w:t>). פסיקת הוצאות משפט  מיועדת אפוא לאזן בין זכות הגישה לערכאות לבין שיקולים מוסדיים, ובהם מניעת תביעות סרק, שאיפה למניעת ניהול מכביד של ההליך או שימוש בהליך שלא בתום לב</w:t>
      </w:r>
      <w:r w:rsidRPr="009B3267">
        <w:rPr>
          <w:rFonts w:ascii="Miriam" w:hAnsi="Miriam" w:cs="Miriam"/>
        </w:rPr>
        <w:t>."</w:t>
      </w:r>
    </w:p>
    <w:p w:rsidR="00CC7263" w:rsidRPr="006B3502" w:rsidRDefault="00CC7263" w:rsidP="00CC7263">
      <w:pPr>
        <w:spacing w:line="360" w:lineRule="auto"/>
        <w:ind w:left="360"/>
        <w:jc w:val="both"/>
        <w:rPr>
          <w:rFonts w:ascii="Miriam" w:hAnsi="Miriam" w:cs="Miriam"/>
          <w:rtl/>
        </w:rPr>
      </w:pPr>
    </w:p>
    <w:p w:rsidR="00CC7263" w:rsidRPr="006B3502" w:rsidRDefault="00CC7263" w:rsidP="00CC7263">
      <w:pPr>
        <w:numPr>
          <w:ilvl w:val="0"/>
          <w:numId w:val="1"/>
        </w:numPr>
        <w:spacing w:line="360" w:lineRule="auto"/>
        <w:contextualSpacing/>
        <w:jc w:val="both"/>
        <w:rPr>
          <w:rFonts w:ascii="Arial" w:hAnsi="Arial"/>
          <w:noProof w:val="0"/>
          <w:u w:val="single"/>
        </w:rPr>
      </w:pPr>
      <w:r w:rsidRPr="009B3267">
        <w:rPr>
          <w:rFonts w:ascii="David" w:hAnsi="David"/>
          <w:rtl/>
        </w:rPr>
        <w:t>כאמור, בהתאם להלכה הפסוקה הכלל הוא כי ייפסקו הוצאות לחובת התובע שעה שמבוקש למחוק את התביעה. ומכאן כי יש לבחון האם בנסיבות העניין הקונקרטי יש מקום לסטות מן הכלל ולפטור את המבקש מתשלום הוצאות לצד שכנגד.</w:t>
      </w:r>
    </w:p>
    <w:p w:rsidR="00CC7263" w:rsidRPr="009B3267" w:rsidRDefault="00CC7263" w:rsidP="00CC7263">
      <w:pPr>
        <w:spacing w:line="360" w:lineRule="auto"/>
        <w:ind w:left="786"/>
        <w:contextualSpacing/>
        <w:jc w:val="both"/>
        <w:rPr>
          <w:rFonts w:ascii="Arial" w:hAnsi="Arial"/>
          <w:noProof w:val="0"/>
          <w:u w:val="single"/>
          <w:rtl/>
        </w:rPr>
      </w:pPr>
    </w:p>
    <w:p w:rsidR="00CC7263" w:rsidRPr="006B3502" w:rsidRDefault="00CC7263" w:rsidP="00CC7263">
      <w:pPr>
        <w:numPr>
          <w:ilvl w:val="0"/>
          <w:numId w:val="1"/>
        </w:numPr>
        <w:spacing w:line="360" w:lineRule="auto"/>
        <w:contextualSpacing/>
        <w:jc w:val="both"/>
        <w:rPr>
          <w:rFonts w:ascii="Arial" w:hAnsi="Arial"/>
        </w:rPr>
      </w:pPr>
      <w:r w:rsidRPr="009B3267">
        <w:rPr>
          <w:rFonts w:ascii="Arial" w:hAnsi="Arial"/>
          <w:noProof w:val="0"/>
          <w:rtl/>
        </w:rPr>
        <w:t>בעניינו</w:t>
      </w:r>
      <w:r w:rsidRPr="009B3267">
        <w:rPr>
          <w:rFonts w:ascii="Arial" w:hAnsi="Arial"/>
          <w:rtl/>
        </w:rPr>
        <w:t xml:space="preserve">, </w:t>
      </w:r>
      <w:r w:rsidRPr="009B3267">
        <w:rPr>
          <w:rFonts w:ascii="David" w:hAnsi="David"/>
          <w:rtl/>
        </w:rPr>
        <w:t xml:space="preserve">לטענת המבקש יש מקום לפטור אותו מתשלום הוצאות, אך ורק בשל הטעם כי  לגישתו הסובייקטיבית שאינה נתמכת בדבר היה מקום להגשת בקשה למינוי מנהל עיזבון. מפרט המבקש בדבר חוב לכאורה מכספי העיזבון כלפי המבקש המצדיקה לכאורה  חלוקה לא שיוויונית של הכספים המצויים בחשבון הבנק, בניגוד לזכויות היורשים בצו הירושה,  אלא שהובהר למבקש במהלך הדיון כפי האמור בהחלטתי שצוטטה בחלקה לעיל, כי בהיעדר תביעת חוב או אסמכתאות רלוונטיות לא ניתן כלל לברר את הבקשה. </w:t>
      </w:r>
    </w:p>
    <w:p w:rsidR="00CC7263" w:rsidRDefault="00CC7263" w:rsidP="00CC7263">
      <w:pPr>
        <w:pStyle w:val="a9"/>
        <w:rPr>
          <w:rFonts w:ascii="David" w:hAnsi="David"/>
          <w:rtl/>
        </w:rPr>
      </w:pPr>
    </w:p>
    <w:p w:rsidR="00CC7263" w:rsidRDefault="00CC7263" w:rsidP="00CC7263">
      <w:pPr>
        <w:spacing w:line="360" w:lineRule="auto"/>
        <w:ind w:left="786"/>
        <w:contextualSpacing/>
        <w:jc w:val="both"/>
        <w:rPr>
          <w:rFonts w:ascii="David" w:hAnsi="David"/>
          <w:rtl/>
        </w:rPr>
      </w:pPr>
      <w:r w:rsidRPr="009B3267">
        <w:rPr>
          <w:rFonts w:ascii="David" w:hAnsi="David"/>
          <w:rtl/>
        </w:rPr>
        <w:lastRenderedPageBreak/>
        <w:t xml:space="preserve">על אף האמור, לא הגיש המבקש כל תביעת חוב להוכחת טענותיו ומנגד לא ביקש להפסיק את התביעות לאחר הדיון. </w:t>
      </w:r>
    </w:p>
    <w:p w:rsidR="00CC7263" w:rsidRDefault="00CC7263" w:rsidP="00CC7263">
      <w:pPr>
        <w:spacing w:line="360" w:lineRule="auto"/>
        <w:ind w:left="786"/>
        <w:contextualSpacing/>
        <w:jc w:val="both"/>
        <w:rPr>
          <w:rFonts w:ascii="David" w:hAnsi="David"/>
          <w:rtl/>
        </w:rPr>
      </w:pPr>
    </w:p>
    <w:p w:rsidR="00CC7263" w:rsidRDefault="00CC7263" w:rsidP="00CC7263">
      <w:pPr>
        <w:spacing w:line="360" w:lineRule="auto"/>
        <w:ind w:left="786"/>
        <w:contextualSpacing/>
        <w:jc w:val="both"/>
        <w:rPr>
          <w:rFonts w:ascii="David" w:hAnsi="David"/>
          <w:rtl/>
        </w:rPr>
      </w:pPr>
      <w:r w:rsidRPr="009B3267">
        <w:rPr>
          <w:rFonts w:ascii="David" w:hAnsi="David"/>
          <w:rtl/>
        </w:rPr>
        <w:t>לא זו אף זו לא מצאתי כל טעם ממשי עליו הצביע המבקש, להחלטתו למחיקת התובענות עתה, שעה שבפועל, לא השתנה דבר שכן כאמור המבקש לא הצביע על שינוי נסיבות שהתרחש מעת הגשת הבקשות, מה גם שלמצער עמדתה  של המשיבה 1 המתנגדת לבקשה למינוי מנהל עיזבון וכן עמדת בית המשפט, הייתה ידועה למבקש לאחר הדיון שם נטענו הדברים (עמ</w:t>
      </w:r>
      <w:r>
        <w:rPr>
          <w:rFonts w:ascii="David" w:hAnsi="David"/>
          <w:rtl/>
        </w:rPr>
        <w:t>' 2 שורה 17-18 לפרוטוקול הדיון)</w:t>
      </w:r>
      <w:r>
        <w:rPr>
          <w:rFonts w:ascii="David" w:hAnsi="David" w:hint="cs"/>
          <w:rtl/>
        </w:rPr>
        <w:t xml:space="preserve">. </w:t>
      </w:r>
      <w:r w:rsidRPr="009B3267">
        <w:rPr>
          <w:rFonts w:ascii="David" w:hAnsi="David"/>
          <w:rtl/>
        </w:rPr>
        <w:t xml:space="preserve">אציין גם בהקשר לאמור כי ממילא טענה המשיבה 1 כי בכפוף להמצאת אסמכתאות רלוונטיות ניתן יהיה להתחשבן מכספי העיזבון בעניין החוב הנטען (עמ' 2 שורות 19-20 לפרוטוקול הדיון וגם סע' 14 לתגובת המשיבה 1 מיום 19.03.24) . הואיל וכך, לא נותרה למשיבים ברירה ואלו  נאלצו להגיש תגובתם לבקשות ועל כן בהתאם לחוק ולהלכה הפסוקה,  זכאים הם להשבת הוצאותיהם שהוציאו בהליך.   </w:t>
      </w:r>
    </w:p>
    <w:p w:rsidR="00CC7263" w:rsidRPr="009B3267" w:rsidRDefault="00CC7263" w:rsidP="00CC7263">
      <w:pPr>
        <w:spacing w:line="360" w:lineRule="auto"/>
        <w:ind w:left="786"/>
        <w:contextualSpacing/>
        <w:jc w:val="both"/>
        <w:rPr>
          <w:rFonts w:ascii="Arial" w:hAnsi="Arial"/>
        </w:rPr>
      </w:pPr>
    </w:p>
    <w:p w:rsidR="00CC7263" w:rsidRDefault="00CC7263" w:rsidP="00CC7263">
      <w:pPr>
        <w:numPr>
          <w:ilvl w:val="0"/>
          <w:numId w:val="1"/>
        </w:numPr>
        <w:spacing w:line="360" w:lineRule="auto"/>
        <w:contextualSpacing/>
        <w:jc w:val="both"/>
      </w:pPr>
      <w:r w:rsidRPr="009B3267">
        <w:rPr>
          <w:rFonts w:ascii="Arial" w:hAnsi="Arial"/>
          <w:rtl/>
        </w:rPr>
        <w:t xml:space="preserve">כאמור לעיל, מחייבת הפסיקה </w:t>
      </w:r>
      <w:r w:rsidRPr="009B3267">
        <w:rPr>
          <w:rFonts w:ascii="David" w:hAnsi="David"/>
          <w:rtl/>
        </w:rPr>
        <w:t>ככלל כי יפסקו הוצאות ריאליות אלא שאלו ייבחנו לאור דרישת הסבירות המידתיות ונחיצותן לצורך ניהול ההליך</w:t>
      </w:r>
      <w:r w:rsidRPr="009B3267">
        <w:rPr>
          <w:rtl/>
        </w:rPr>
        <w:t>, בענייננו משעה שהלכה למעשה, טרם התקיים דיון לגופן של  הבקשות, וכל שהוגש מטעם המשיבים 1-2 הוא תגובה לבקשות, ותגובה לבקשת המבקש לפטור אותו מתשלום הוצאות, כאמו</w:t>
      </w:r>
      <w:r>
        <w:rPr>
          <w:rtl/>
        </w:rPr>
        <w:t>ר המשיב  3 לא הגיש עמדתו לבקשות</w:t>
      </w:r>
      <w:r>
        <w:rPr>
          <w:rFonts w:hint="cs"/>
          <w:rtl/>
        </w:rPr>
        <w:t>.</w:t>
      </w:r>
    </w:p>
    <w:p w:rsidR="00CC7263" w:rsidRDefault="00CC7263" w:rsidP="00CC7263">
      <w:pPr>
        <w:spacing w:line="360" w:lineRule="auto"/>
        <w:ind w:left="786"/>
        <w:contextualSpacing/>
        <w:jc w:val="both"/>
      </w:pPr>
    </w:p>
    <w:p w:rsidR="00CC7263" w:rsidRDefault="00CC7263" w:rsidP="00CC7263">
      <w:pPr>
        <w:numPr>
          <w:ilvl w:val="0"/>
          <w:numId w:val="1"/>
        </w:numPr>
        <w:spacing w:line="360" w:lineRule="auto"/>
        <w:contextualSpacing/>
        <w:jc w:val="both"/>
      </w:pPr>
      <w:r w:rsidRPr="009B3267">
        <w:rPr>
          <w:rtl/>
        </w:rPr>
        <w:t xml:space="preserve">בנסיבות העניין </w:t>
      </w:r>
      <w:r w:rsidRPr="009B3267">
        <w:rPr>
          <w:rFonts w:ascii="David" w:hAnsi="David"/>
          <w:rtl/>
        </w:rPr>
        <w:t>ובבחינת האיזון הנדרש כאמור לעיל</w:t>
      </w:r>
      <w:r w:rsidRPr="009B3267">
        <w:rPr>
          <w:rtl/>
        </w:rPr>
        <w:t xml:space="preserve"> ומשעה שגם לא הוגשו אסמכתאות מטעם המשיבים 1-2 בהקשר להוצאות הנטענות, </w:t>
      </w:r>
      <w:r>
        <w:rPr>
          <w:rFonts w:hint="cs"/>
          <w:rtl/>
        </w:rPr>
        <w:t xml:space="preserve">בשים לב להיקף ההליכים שנדרשו כן, </w:t>
      </w:r>
      <w:r w:rsidRPr="009B3267">
        <w:rPr>
          <w:rtl/>
        </w:rPr>
        <w:t xml:space="preserve">מצאתי לחייב את המבקש בהוצאות לטובת המשיבים 1-2 אולם ברף הנמוך ואלו יעמדו על סך 3,000 ₪.  </w:t>
      </w:r>
    </w:p>
    <w:p w:rsidR="00CC7263" w:rsidRDefault="00CC7263" w:rsidP="00CC7263">
      <w:pPr>
        <w:pStyle w:val="a9"/>
        <w:rPr>
          <w:rtl/>
        </w:rPr>
      </w:pPr>
    </w:p>
    <w:p w:rsidR="00CC7263" w:rsidRDefault="00CC7263" w:rsidP="00CC7263">
      <w:pPr>
        <w:numPr>
          <w:ilvl w:val="0"/>
          <w:numId w:val="1"/>
        </w:numPr>
        <w:spacing w:line="360" w:lineRule="auto"/>
        <w:contextualSpacing/>
        <w:jc w:val="both"/>
      </w:pPr>
      <w:r w:rsidRPr="009B3267">
        <w:rPr>
          <w:rtl/>
        </w:rPr>
        <w:t xml:space="preserve">תואיל המזכירות למסור החלטתי זו לבאי כח הצדדים וכן לידי המשיב 3 ולסגור את התיק הקשור. </w:t>
      </w:r>
    </w:p>
    <w:p w:rsidR="00CC7263" w:rsidRDefault="00CC7263" w:rsidP="00CC7263">
      <w:pPr>
        <w:pStyle w:val="a9"/>
        <w:rPr>
          <w:rtl/>
        </w:rPr>
      </w:pPr>
    </w:p>
    <w:p w:rsidR="00CC7263" w:rsidRPr="009B3267" w:rsidRDefault="00CC7263" w:rsidP="00CC7263">
      <w:pPr>
        <w:numPr>
          <w:ilvl w:val="0"/>
          <w:numId w:val="1"/>
        </w:numPr>
        <w:spacing w:line="360" w:lineRule="auto"/>
        <w:contextualSpacing/>
        <w:jc w:val="both"/>
      </w:pPr>
      <w:r>
        <w:rPr>
          <w:rFonts w:hint="cs"/>
          <w:rtl/>
        </w:rPr>
        <w:t xml:space="preserve">מתירה פרסום ההחלטה תוך השמטת כל הפרטים המזהים. </w:t>
      </w:r>
    </w:p>
    <w:p w:rsidR="00CC7263" w:rsidRPr="00B51972" w:rsidRDefault="00CC7263" w:rsidP="00CC7263">
      <w:pPr>
        <w:spacing w:line="360" w:lineRule="auto"/>
        <w:jc w:val="both"/>
        <w:rPr>
          <w:rFonts w:ascii="Arial" w:hAnsi="Arial"/>
          <w:noProof w:val="0"/>
          <w:rtl/>
        </w:rPr>
      </w:pPr>
    </w:p>
    <w:p w:rsidR="00CC7263" w:rsidRDefault="00CC7263" w:rsidP="00CC7263">
      <w:pPr>
        <w:spacing w:line="360" w:lineRule="auto"/>
        <w:jc w:val="both"/>
        <w:rPr>
          <w:rFonts w:ascii="Arial" w:hAnsi="Arial"/>
          <w:noProof w:val="0"/>
          <w:rtl/>
        </w:rPr>
      </w:pPr>
    </w:p>
    <w:p w:rsidR="00CC7263" w:rsidRDefault="00CC7263" w:rsidP="00CC7263">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כ' אייר תשפ"ד</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28 מאי 2024</w:t>
          </w:r>
        </w:sdtContent>
      </w:sdt>
      <w:r>
        <w:rPr>
          <w:rFonts w:ascii="Arial" w:hAnsi="Arial"/>
          <w:noProof w:val="0"/>
          <w:rtl/>
        </w:rPr>
        <w:t>, בהעדר הצדדים.</w:t>
      </w:r>
    </w:p>
    <w:p w:rsidR="00CC7263" w:rsidRDefault="00CC7263" w:rsidP="00CC7263">
      <w:pPr>
        <w:spacing w:line="360" w:lineRule="auto"/>
        <w:jc w:val="both"/>
        <w:rPr>
          <w:rFonts w:ascii="Arial" w:hAnsi="Arial"/>
          <w:noProof w:val="0"/>
          <w:rtl/>
        </w:rPr>
      </w:pPr>
    </w:p>
    <w:p w:rsidR="00CC7263" w:rsidRDefault="0084461E" w:rsidP="00CC7263">
      <w:pPr>
        <w:spacing w:line="360" w:lineRule="auto"/>
        <w:ind w:left="3600" w:firstLine="720"/>
        <w:jc w:val="both"/>
      </w:pPr>
      <w:sdt>
        <w:sdtPr>
          <w:rPr>
            <w:rtl/>
          </w:rPr>
          <w:alias w:val="MergeField"/>
          <w:tag w:val="1237"/>
          <w:id w:val="1759019829"/>
        </w:sdtPr>
        <w:sdtEndPr/>
        <w:sdtContent>
          <w:r w:rsidR="00CC7263">
            <w:drawing>
              <wp:inline distT="0" distB="0" distL="0" distR="0" wp14:anchorId="5A23FB4E" wp14:editId="316CB282">
                <wp:extent cx="1200150"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200150" cy="920750"/>
                        </a:xfrm>
                        <a:prstGeom prst="rect">
                          <a:avLst/>
                        </a:prstGeom>
                      </pic:spPr>
                    </pic:pic>
                  </a:graphicData>
                </a:graphic>
              </wp:inline>
            </w:drawing>
          </w:r>
        </w:sdtContent>
      </w:sdt>
    </w:p>
    <w:p w:rsidR="00CC7263" w:rsidRDefault="00CC7263" w:rsidP="00CC7263">
      <w:pPr>
        <w:spacing w:line="360" w:lineRule="auto"/>
        <w:ind w:left="3600" w:firstLine="720"/>
        <w:jc w:val="both"/>
        <w:rPr>
          <w:rFonts w:ascii="Arial" w:hAnsi="Arial"/>
          <w:noProof w:val="0"/>
          <w:rtl/>
        </w:rPr>
      </w:pPr>
    </w:p>
    <w:p w:rsidR="00CC7263" w:rsidRDefault="00CC7263" w:rsidP="00CC7263">
      <w:pPr>
        <w:spacing w:line="360" w:lineRule="auto"/>
        <w:jc w:val="both"/>
        <w:rPr>
          <w:rFonts w:ascii="Arial" w:hAnsi="Arial"/>
          <w:noProof w:val="0"/>
          <w:rtl/>
        </w:rPr>
      </w:pPr>
    </w:p>
    <w:p w:rsidR="00FB4AA4" w:rsidRDefault="00FB4AA4"/>
    <w:sectPr w:rsidR="00FB4AA4"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461E" w:rsidRDefault="0084461E" w:rsidP="00CC7263">
      <w:r>
        <w:separator/>
      </w:r>
    </w:p>
  </w:endnote>
  <w:endnote w:type="continuationSeparator" w:id="0">
    <w:p w:rsidR="0084461E" w:rsidRDefault="0084461E" w:rsidP="00CC7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C7263">
    <w:pPr>
      <w:pStyle w:val="a5"/>
      <w:jc w:val="center"/>
      <w:rPr>
        <w:rStyle w:val="a8"/>
      </w:rPr>
    </w:pPr>
    <w:r>
      <w:rPr>
        <w:rStyle w:val="a8"/>
      </w:rPr>
      <w:fldChar w:fldCharType="begin"/>
    </w:r>
    <w:r>
      <w:rPr>
        <w:rStyle w:val="a8"/>
      </w:rPr>
      <w:instrText xml:space="preserve"> PAGE </w:instrText>
    </w:r>
    <w:r>
      <w:rPr>
        <w:rStyle w:val="a8"/>
      </w:rPr>
      <w:fldChar w:fldCharType="separate"/>
    </w:r>
    <w:r w:rsidR="004915FF">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4915FF">
      <w:rPr>
        <w:rStyle w:val="a8"/>
        <w:rtl/>
      </w:rPr>
      <w:t>1</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461E" w:rsidRDefault="0084461E" w:rsidP="00CC7263">
      <w:r>
        <w:separator/>
      </w:r>
    </w:p>
  </w:footnote>
  <w:footnote w:type="continuationSeparator" w:id="0">
    <w:p w:rsidR="0084461E" w:rsidRDefault="0084461E" w:rsidP="00CC7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C7263">
    <w:pPr>
      <w:pStyle w:val="a3"/>
      <w:jc w:val="center"/>
      <w:rPr>
        <w:rFonts w:cs="FrankRuehl"/>
        <w:noProof w:val="0"/>
        <w:sz w:val="28"/>
        <w:szCs w:val="28"/>
        <w:rtl/>
      </w:rPr>
    </w:pPr>
    <w:r>
      <w:rPr>
        <w:rFonts w:cs="FrankRuehl"/>
        <w:sz w:val="28"/>
        <w:szCs w:val="28"/>
      </w:rPr>
      <w:drawing>
        <wp:inline distT="0" distB="0" distL="0" distR="0" wp14:anchorId="203E9D61" wp14:editId="1D285839">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CC7263">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84461E">
          <w:pPr>
            <w:rPr>
              <w:b/>
              <w:bCs/>
              <w:noProof w:val="0"/>
              <w:sz w:val="26"/>
              <w:szCs w:val="26"/>
              <w:rtl/>
            </w:rPr>
          </w:pPr>
        </w:p>
      </w:tc>
      <w:tc>
        <w:tcPr>
          <w:tcW w:w="3674" w:type="dxa"/>
        </w:tcPr>
        <w:p w:rsidR="002914D6" w:rsidRDefault="0084461E">
          <w:pPr>
            <w:pStyle w:val="a3"/>
            <w:jc w:val="right"/>
            <w:rPr>
              <w:b/>
              <w:bCs/>
              <w:noProof w:val="0"/>
              <w:sz w:val="26"/>
              <w:szCs w:val="26"/>
              <w:rtl/>
            </w:rPr>
          </w:pPr>
        </w:p>
      </w:tc>
    </w:tr>
    <w:tr w:rsidR="002914D6">
      <w:trPr>
        <w:trHeight w:val="337"/>
        <w:jc w:val="center"/>
      </w:trPr>
      <w:tc>
        <w:tcPr>
          <w:tcW w:w="8721" w:type="dxa"/>
          <w:gridSpan w:val="2"/>
        </w:tcPr>
        <w:p w:rsidR="002914D6" w:rsidRDefault="0084461E" w:rsidP="00CC7263">
          <w:pPr>
            <w:rPr>
              <w:b/>
              <w:bCs/>
              <w:noProof w:val="0"/>
              <w:sz w:val="26"/>
              <w:szCs w:val="26"/>
              <w:rtl/>
            </w:rPr>
          </w:pPr>
          <w:sdt>
            <w:sdtPr>
              <w:rPr>
                <w:rtl/>
              </w:rPr>
              <w:alias w:val="1170"/>
              <w:tag w:val="1170"/>
              <w:id w:val="922609164"/>
              <w:text w:multiLine="1"/>
            </w:sdtPr>
            <w:sdtEndPr/>
            <w:sdtContent>
              <w:r w:rsidR="00CC7263">
                <w:rPr>
                  <w:b/>
                  <w:bCs/>
                  <w:noProof w:val="0"/>
                  <w:sz w:val="26"/>
                  <w:szCs w:val="26"/>
                  <w:rtl/>
                </w:rPr>
                <w:t>ת"ע</w:t>
              </w:r>
            </w:sdtContent>
          </w:sdt>
          <w:r w:rsidR="00CC7263">
            <w:rPr>
              <w:b/>
              <w:bCs/>
              <w:noProof w:val="0"/>
              <w:sz w:val="26"/>
              <w:szCs w:val="26"/>
              <w:rtl/>
            </w:rPr>
            <w:t xml:space="preserve"> </w:t>
          </w:r>
          <w:sdt>
            <w:sdtPr>
              <w:rPr>
                <w:rtl/>
              </w:rPr>
              <w:alias w:val="1171"/>
              <w:tag w:val="1171"/>
              <w:id w:val="-1035651213"/>
              <w:text w:multiLine="1"/>
            </w:sdtPr>
            <w:sdtEndPr/>
            <w:sdtContent>
              <w:r w:rsidR="00CC7263">
                <w:rPr>
                  <w:b/>
                  <w:bCs/>
                  <w:noProof w:val="0"/>
                  <w:sz w:val="26"/>
                  <w:szCs w:val="26"/>
                  <w:rtl/>
                </w:rPr>
                <w:t>54365-01-24</w:t>
              </w:r>
            </w:sdtContent>
          </w:sdt>
          <w:r w:rsidR="00CC7263">
            <w:rPr>
              <w:b/>
              <w:bCs/>
              <w:noProof w:val="0"/>
              <w:sz w:val="26"/>
              <w:szCs w:val="26"/>
              <w:rtl/>
            </w:rPr>
            <w:t xml:space="preserve"> </w:t>
          </w:r>
          <w:sdt>
            <w:sdtPr>
              <w:rPr>
                <w:rtl/>
              </w:rPr>
              <w:alias w:val="1172"/>
              <w:tag w:val="1172"/>
              <w:id w:val="-1735694493"/>
              <w:text w:multiLine="1"/>
            </w:sdtPr>
            <w:sdtEndPr/>
            <w:sdtContent>
              <w:r w:rsidR="00CC7263">
                <w:rPr>
                  <w:b/>
                  <w:bCs/>
                  <w:noProof w:val="0"/>
                  <w:sz w:val="26"/>
                  <w:szCs w:val="26"/>
                  <w:rtl/>
                </w:rPr>
                <w:t>י</w:t>
              </w:r>
              <w:r w:rsidR="00CC7263">
                <w:rPr>
                  <w:rFonts w:hint="cs"/>
                  <w:b/>
                  <w:bCs/>
                  <w:noProof w:val="0"/>
                  <w:sz w:val="26"/>
                  <w:szCs w:val="26"/>
                  <w:rtl/>
                </w:rPr>
                <w:t xml:space="preserve">. </w:t>
              </w:r>
              <w:r w:rsidR="00CC7263">
                <w:rPr>
                  <w:b/>
                  <w:bCs/>
                  <w:noProof w:val="0"/>
                  <w:sz w:val="26"/>
                  <w:szCs w:val="26"/>
                  <w:rtl/>
                </w:rPr>
                <w:t>נ' האפוטרופוס הכללי במחוז תל-אביב ואח'</w:t>
              </w:r>
            </w:sdtContent>
          </w:sdt>
        </w:p>
        <w:p w:rsidR="002914D6" w:rsidRDefault="0084461E">
          <w:pPr>
            <w:rPr>
              <w:rtl/>
            </w:rPr>
          </w:pPr>
        </w:p>
      </w:tc>
    </w:tr>
  </w:tbl>
  <w:p w:rsidR="002914D6" w:rsidRDefault="00CC7263">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45800"/>
    <w:multiLevelType w:val="hybridMultilevel"/>
    <w:tmpl w:val="F5B497A6"/>
    <w:lvl w:ilvl="0" w:tplc="0409000F">
      <w:start w:val="1"/>
      <w:numFmt w:val="decimal"/>
      <w:lvlText w:val="%1."/>
      <w:lvlJc w:val="left"/>
      <w:pPr>
        <w:ind w:left="78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263"/>
    <w:rsid w:val="004915FF"/>
    <w:rsid w:val="0078469F"/>
    <w:rsid w:val="0084461E"/>
    <w:rsid w:val="00CC7263"/>
    <w:rsid w:val="00FB4AA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400039-B0AB-4A1F-BD91-484DA1908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263"/>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C7263"/>
    <w:pPr>
      <w:tabs>
        <w:tab w:val="center" w:pos="4153"/>
        <w:tab w:val="right" w:pos="8306"/>
      </w:tabs>
    </w:pPr>
  </w:style>
  <w:style w:type="character" w:customStyle="1" w:styleId="a4">
    <w:name w:val="כותרת עליונה תו"/>
    <w:basedOn w:val="a0"/>
    <w:link w:val="a3"/>
    <w:rsid w:val="00CC7263"/>
    <w:rPr>
      <w:rFonts w:ascii="Times New Roman" w:eastAsia="Times New Roman" w:hAnsi="Times New Roman" w:cs="David"/>
      <w:noProof/>
      <w:sz w:val="24"/>
      <w:szCs w:val="24"/>
    </w:rPr>
  </w:style>
  <w:style w:type="paragraph" w:styleId="a5">
    <w:name w:val="footer"/>
    <w:basedOn w:val="a"/>
    <w:link w:val="a6"/>
    <w:rsid w:val="00CC7263"/>
    <w:pPr>
      <w:tabs>
        <w:tab w:val="center" w:pos="4153"/>
        <w:tab w:val="right" w:pos="8306"/>
      </w:tabs>
    </w:pPr>
  </w:style>
  <w:style w:type="character" w:customStyle="1" w:styleId="a6">
    <w:name w:val="כותרת תחתונה תו"/>
    <w:basedOn w:val="a0"/>
    <w:link w:val="a5"/>
    <w:rsid w:val="00CC7263"/>
    <w:rPr>
      <w:rFonts w:ascii="Times New Roman" w:eastAsia="Times New Roman" w:hAnsi="Times New Roman" w:cs="David"/>
      <w:noProof/>
      <w:sz w:val="24"/>
      <w:szCs w:val="24"/>
    </w:rPr>
  </w:style>
  <w:style w:type="table" w:styleId="a7">
    <w:name w:val="Table Grid"/>
    <w:basedOn w:val="a1"/>
    <w:rsid w:val="00CC7263"/>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CC7263"/>
  </w:style>
  <w:style w:type="paragraph" w:styleId="a9">
    <w:name w:val="List Paragraph"/>
    <w:basedOn w:val="a"/>
    <w:uiPriority w:val="34"/>
    <w:qFormat/>
    <w:rsid w:val="00CC7263"/>
    <w:pPr>
      <w:ind w:left="720"/>
      <w:contextualSpacing/>
    </w:pPr>
  </w:style>
  <w:style w:type="character" w:styleId="aa">
    <w:name w:val="line number"/>
    <w:basedOn w:val="a0"/>
    <w:uiPriority w:val="99"/>
    <w:semiHidden/>
    <w:unhideWhenUsed/>
    <w:rsid w:val="00CC7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ettings" Target="settings.xml"/><Relationship Id="rId7" Type="http://schemas.openxmlformats.org/officeDocument/2006/relationships/hyperlink" Target="https://www.nevo.co.il/psika_html/elyon/20076500-N03.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1592</Words>
  <Characters>7964</Characters>
  <Application>Microsoft Office Word</Application>
  <DocSecurity>0</DocSecurity>
  <Lines>66</Lines>
  <Paragraphs>19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פסנזון לוטנברג</dc:creator>
  <cp:keywords/>
  <dc:description/>
  <cp:lastModifiedBy>גרמאו מנגיסטו</cp:lastModifiedBy>
  <cp:revision>2</cp:revision>
  <dcterms:created xsi:type="dcterms:W3CDTF">2024-09-03T05:37:00Z</dcterms:created>
  <dcterms:modified xsi:type="dcterms:W3CDTF">2024-09-03T05:37:00Z</dcterms:modified>
</cp:coreProperties>
</file>